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7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 the month of October 2026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Commission File Number: 001-39911</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0"/>
          <w:szCs w:val="50"/>
          <w:b w:val="1"/>
          <w:bCs w:val="1"/>
          <w:color w:val="auto"/>
        </w:rPr>
        <w:t>Patria Investments Limited</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Nexus Way, 4th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Camana Bay, PO Box 757, KY1-9006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Cayman, Cayman Islands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+1 345 640 4900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180"/>
        <w:spacing w:after="0"/>
        <w:tabs>
          <w:tab w:leader="none" w:pos="4720" w:val="left"/>
          <w:tab w:leader="none" w:pos="64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2817495</wp:posOffset>
            </wp:positionH>
            <wp:positionV relativeFrom="paragraph">
              <wp:posOffset>17145</wp:posOffset>
            </wp:positionV>
            <wp:extent cx="471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26035</wp:posOffset>
            </wp:positionV>
            <wp:extent cx="462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351790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462"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general meeting held on October 26, 2026, Patria Investments Limited (the “Company”) shareholders passed resolutions approving the financial statements and the auditor’s report for the fiscal year ended 31 December 2025, and the appointment of Alfonso Duval, Ana Russo and Andre Sales as directors, as set out in its Notice of Annual General Meeting dated October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Patria Investments Limited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Raphael Denadai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Raphael Denadai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57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2026-10-26T16:08:35Z</dcterms:created>
  <dcterms:modified xsi:type="dcterms:W3CDTF">2026-10-26T16:08:35Z</dcterms:modified>
</cp:coreProperties>
</file>