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4595_6k.htm"/>
      <w:bookmarkStart w:id="1" w:name="ksdp254595_6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37" w:right="0" w:hanging="137"/>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 PURSUANT TO RULE</w:t>
      </w:r>
    </w:p>
    <w:p>
      <w:pPr>
        <w:pStyle w:val="TextBody"/>
        <w:bidi w:val="0"/>
        <w:spacing w:before="0" w:after="0"/>
        <w:ind w:left="137" w:right="0" w:hanging="137"/>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13a-16 OR 15d-16 UNDER THE SECURITIES EXCHANGE ACT OF 1934</w:t>
      </w:r>
    </w:p>
    <w:p>
      <w:pPr>
        <w:pStyle w:val="TextBody"/>
        <w:bidi w:val="0"/>
        <w:spacing w:before="0" w:after="0"/>
        <w:ind w:left="137" w:right="0" w:hanging="137"/>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For the month of October 2026</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Commission File Number: 001-39911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56"/>
        </w:rPr>
      </w:pPr>
      <w:r>
        <w:rPr>
          <w:rFonts w:ascii="Times New Roman;Times;Serif" w:hAnsi="Times New Roman;Times;Serif"/>
          <w:b/>
          <w:i w:val="false"/>
          <w:caps w:val="false"/>
          <w:smallCaps w:val="false"/>
          <w:sz w:val="56"/>
        </w:rPr>
        <w:t>Patria Investments Limited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60 Nexus Way, 4th floor,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Camana Bay, PO Box 757, KY1-9006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Grand Cayman, Cayman Islands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+1 345 640 4900 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430" w:type="dxa"/>
        <w:jc w:val="center"/>
        <w:tblInd w:w="0" w:type="dxa"/>
        <w:tblLayout w:type="fixed"/>
        <w:tblCellMar>
          <w:top w:w="0" w:type="dxa"/>
          <w:left w:w="0" w:type="dxa"/>
          <w:bottom w:w="0" w:type="dxa"/>
          <w:right w:w="0" w:type="dxa"/>
        </w:tblCellMar>
      </w:tblPr>
      <w:tblGrid>
        <w:gridCol w:w="1055"/>
        <w:gridCol w:w="200"/>
        <w:gridCol w:w="60"/>
        <w:gridCol w:w="1040"/>
        <w:gridCol w:w="75"/>
      </w:tblGrid>
      <w:tr>
        <w:trPr/>
        <w:tc>
          <w:tcPr>
            <w:tcW w:w="1055" w:type="dxa"/>
            <w:tcBorders/>
            <w:vAlign w:val="center"/>
          </w:tcPr>
          <w:p>
            <w:pPr>
              <w:pStyle w:val="TableContents"/>
              <w:bidi w:val="0"/>
              <w:spacing w:before="0" w:after="283"/>
              <w:jc w:val="center"/>
              <w:rPr>
                <w:sz w:val="24"/>
              </w:rPr>
            </w:pPr>
            <w:r>
              <w:rPr>
                <w:sz w:val="24"/>
              </w:rPr>
              <w:t>Form 20-F</w:t>
            </w:r>
          </w:p>
        </w:tc>
        <w:tc>
          <w:tcPr>
            <w:tcW w:w="20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X</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sz w:val="24"/>
              </w:rPr>
            </w:pPr>
            <w:r>
              <w:rPr>
                <w:sz w:val="24"/>
              </w:rPr>
              <w:t>Form 40-F</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3059" w:type="dxa"/>
        <w:jc w:val="left"/>
        <w:tblInd w:w="0" w:type="dxa"/>
        <w:tblLayout w:type="fixed"/>
        <w:tblCellMar>
          <w:top w:w="28" w:type="dxa"/>
          <w:left w:w="28" w:type="dxa"/>
          <w:bottom w:w="28" w:type="dxa"/>
          <w:right w:w="28" w:type="dxa"/>
        </w:tblCellMar>
      </w:tblPr>
      <w:tblGrid>
        <w:gridCol w:w="131"/>
        <w:gridCol w:w="376"/>
        <w:gridCol w:w="601"/>
        <w:gridCol w:w="1951"/>
      </w:tblGrid>
      <w:tr>
        <w:trPr/>
        <w:tc>
          <w:tcPr>
            <w:tcW w:w="131" w:type="dxa"/>
            <w:tcBorders/>
            <w:vAlign w:val="center"/>
          </w:tcPr>
          <w:p>
            <w:pPr>
              <w:pStyle w:val="TableContents"/>
              <w:bidi w:val="0"/>
              <w:spacing w:before="0" w:after="283"/>
              <w:jc w:val="left"/>
              <w:rPr/>
            </w:pPr>
            <w:r>
              <w:rPr/>
              <w:t> </w:t>
            </w:r>
          </w:p>
        </w:tc>
        <w:tc>
          <w:tcPr>
            <w:tcW w:w="2928" w:type="dxa"/>
            <w:gridSpan w:val="3"/>
            <w:tcBorders/>
            <w:vAlign w:val="center"/>
          </w:tcPr>
          <w:p>
            <w:pPr>
              <w:pStyle w:val="TableContents"/>
              <w:bidi w:val="0"/>
              <w:spacing w:before="0" w:after="283"/>
              <w:jc w:val="left"/>
              <w:rPr>
                <w:b/>
                <w:sz w:val="20"/>
              </w:rPr>
            </w:pPr>
            <w:r>
              <w:rPr>
                <w:b/>
                <w:sz w:val="20"/>
              </w:rPr>
              <w:t>Patria Investments Limited</w:t>
            </w:r>
          </w:p>
        </w:tc>
      </w:tr>
      <w:tr>
        <w:trPr/>
        <w:tc>
          <w:tcPr>
            <w:tcW w:w="13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r>
      <w:tr>
        <w:trPr/>
        <w:tc>
          <w:tcPr>
            <w:tcW w:w="13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r>
      <w:tr>
        <w:trPr/>
        <w:tc>
          <w:tcPr>
            <w:tcW w:w="13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55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20"/>
              </w:rPr>
            </w:pPr>
            <w:r>
              <w:rPr>
                <w:sz w:val="20"/>
              </w:rPr>
              <w:t xml:space="preserve">/s/ </w:t>
            </w:r>
            <w:r>
              <w:rPr>
                <w:sz w:val="20"/>
                <w:shd w:fill="FFFFFF" w:val="clear"/>
              </w:rPr>
              <w:t>Raphael Denadai</w:t>
            </w:r>
          </w:p>
        </w:tc>
      </w:tr>
      <w:tr>
        <w:trPr/>
        <w:tc>
          <w:tcPr>
            <w:tcW w:w="13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20"/>
              </w:rPr>
            </w:pPr>
            <w:r>
              <w:rPr>
                <w:sz w:val="20"/>
              </w:rPr>
              <w:t>Name:</w:t>
            </w:r>
          </w:p>
        </w:tc>
        <w:tc>
          <w:tcPr>
            <w:tcW w:w="1951" w:type="dxa"/>
            <w:tcBorders/>
            <w:vAlign w:val="center"/>
          </w:tcPr>
          <w:p>
            <w:pPr>
              <w:pStyle w:val="TableContents"/>
              <w:bidi w:val="0"/>
              <w:spacing w:before="0" w:after="283"/>
              <w:jc w:val="left"/>
              <w:rPr>
                <w:sz w:val="20"/>
                <w:shd w:fill="FFFFFF" w:val="clear"/>
              </w:rPr>
            </w:pPr>
            <w:r>
              <w:rPr>
                <w:sz w:val="20"/>
                <w:shd w:fill="FFFFFF" w:val="clear"/>
              </w:rPr>
              <w:t>Raphael Denadai</w:t>
            </w:r>
          </w:p>
        </w:tc>
      </w:tr>
      <w:tr>
        <w:trPr/>
        <w:tc>
          <w:tcPr>
            <w:tcW w:w="13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20"/>
              </w:rPr>
            </w:pPr>
            <w:r>
              <w:rPr>
                <w:sz w:val="20"/>
              </w:rPr>
              <w:t>Title:</w:t>
            </w:r>
          </w:p>
        </w:tc>
        <w:tc>
          <w:tcPr>
            <w:tcW w:w="1951"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8"/>
        <w:gridCol w:w="9317"/>
      </w:tblGrid>
      <w:tr>
        <w:trPr/>
        <w:tc>
          <w:tcPr>
            <w:tcW w:w="888" w:type="dxa"/>
            <w:tcBorders/>
            <w:vAlign w:val="center"/>
          </w:tcPr>
          <w:p>
            <w:pPr>
              <w:pStyle w:val="TableContents"/>
              <w:bidi w:val="0"/>
              <w:spacing w:before="0" w:after="283"/>
              <w:jc w:val="both"/>
              <w:rPr>
                <w:b/>
                <w:sz w:val="20"/>
              </w:rPr>
            </w:pPr>
            <w:r>
              <w:rPr>
                <w:b/>
                <w:sz w:val="20"/>
              </w:rPr>
              <w:t>Exhibit No.</w:t>
            </w:r>
          </w:p>
        </w:tc>
        <w:tc>
          <w:tcPr>
            <w:tcW w:w="9317" w:type="dxa"/>
            <w:tcBorders/>
            <w:vAlign w:val="center"/>
          </w:tcPr>
          <w:p>
            <w:pPr>
              <w:pStyle w:val="TableContents"/>
              <w:bidi w:val="0"/>
              <w:spacing w:before="0" w:after="283"/>
              <w:jc w:val="both"/>
              <w:rPr>
                <w:b/>
                <w:sz w:val="20"/>
              </w:rPr>
            </w:pPr>
            <w:r>
              <w:rPr>
                <w:b/>
                <w:sz w:val="20"/>
              </w:rPr>
              <w:t>Description</w:t>
            </w:r>
          </w:p>
        </w:tc>
      </w:tr>
      <w:tr>
        <w:trPr/>
        <w:tc>
          <w:tcPr>
            <w:tcW w:w="888" w:type="dxa"/>
            <w:tcBorders/>
            <w:vAlign w:val="center"/>
          </w:tcPr>
          <w:p>
            <w:pPr>
              <w:pStyle w:val="TableContents"/>
              <w:bidi w:val="0"/>
              <w:spacing w:before="0" w:after="283"/>
              <w:jc w:val="both"/>
              <w:rPr/>
            </w:pPr>
            <w:hyperlink w:anchor="dp254595_ex9901.htm">
              <w:r>
                <w:rPr>
                  <w:rStyle w:val="InternetLink"/>
                  <w:rFonts w:ascii="Times New Roman;Times;Serif" w:hAnsi="Times New Roman;Times;Serif"/>
                  <w:sz w:val="20"/>
                </w:rPr>
                <w:t>99.1</w:t>
              </w:r>
            </w:hyperlink>
          </w:p>
        </w:tc>
        <w:tc>
          <w:tcPr>
            <w:tcW w:w="9317" w:type="dxa"/>
            <w:tcBorders/>
            <w:vAlign w:val="center"/>
          </w:tcPr>
          <w:p>
            <w:pPr>
              <w:pStyle w:val="TableContents"/>
              <w:bidi w:val="0"/>
              <w:spacing w:before="0" w:after="0"/>
              <w:ind w:left="0" w:right="0" w:hanging="0"/>
              <w:jc w:val="both"/>
              <w:rPr/>
            </w:pPr>
            <w:hyperlink w:anchor="dp254595_ex9901.htm">
              <w:r>
                <w:rPr>
                  <w:rStyle w:val="InternetLink"/>
                  <w:rFonts w:ascii="Times New Roman;Times;Serif" w:hAnsi="Times New Roman;Times;Serif"/>
                  <w:b w:val="false"/>
                  <w:i w:val="false"/>
                  <w:caps w:val="false"/>
                  <w:smallCaps w:val="false"/>
                  <w:color w:val="0000EE"/>
                  <w:sz w:val="20"/>
                </w:rPr>
                <w:t>Patria Investments Limited – Condensed Consolidated Statement of Comprehensive Income (unaudited) for the six-month periods ended June 30, 2026, and 2025</w:t>
              </w:r>
            </w:hyperlink>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pPr>
      <w:bookmarkStart w:id="2" w:name="dp254595_ex9901.htm"/>
      <w:bookmarkStart w:id="3" w:name="ksdp254595_ex9901"/>
      <w:bookmarkEnd w:id="2"/>
      <w:bookmarkEnd w:id="3"/>
      <w:r>
        <w:rPr/>
        <w:t> </w:t>
      </w:r>
      <w:r>
        <w:rPr>
          <w:b/>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Patria Investments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Financial Position (unaudited)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June 30, 2026, and December 31, 2025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United States dollars - US$, except earnings per share)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65"/>
        <w:gridCol w:w="485"/>
        <w:gridCol w:w="948"/>
        <w:gridCol w:w="932"/>
        <w:gridCol w:w="60"/>
        <w:gridCol w:w="2814"/>
        <w:gridCol w:w="602"/>
        <w:gridCol w:w="948"/>
        <w:gridCol w:w="951"/>
      </w:tblGrid>
      <w:tr>
        <w:trPr/>
        <w:tc>
          <w:tcPr>
            <w:tcW w:w="2465" w:type="dxa"/>
            <w:tcBorders>
              <w:bottom w:val="single" w:sz="8" w:space="0" w:color="000000"/>
            </w:tcBorders>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948" w:type="dxa"/>
            <w:tcBorders>
              <w:bottom w:val="single" w:sz="8" w:space="0" w:color="000000"/>
            </w:tcBorders>
            <w:vAlign w:val="center"/>
          </w:tcPr>
          <w:p>
            <w:pPr>
              <w:pStyle w:val="TableContents"/>
              <w:bidi w:val="0"/>
              <w:spacing w:before="0" w:after="283"/>
              <w:jc w:val="center"/>
              <w:rPr>
                <w:b/>
                <w:sz w:val="20"/>
              </w:rPr>
            </w:pPr>
            <w:r>
              <w:rPr>
                <w:b/>
                <w:sz w:val="20"/>
              </w:rPr>
              <w:t>Unaudited</w:t>
            </w:r>
          </w:p>
        </w:tc>
        <w:tc>
          <w:tcPr>
            <w:tcW w:w="932" w:type="dxa"/>
            <w:tcBorders>
              <w:bottom w:val="single" w:sz="8" w:space="0" w:color="000000"/>
            </w:tcBorders>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bottom w:val="single" w:sz="8" w:space="0" w:color="000000"/>
            </w:tcBorders>
            <w:vAlign w:val="center"/>
          </w:tcPr>
          <w:p>
            <w:pPr>
              <w:pStyle w:val="TableContents"/>
              <w:bidi w:val="0"/>
              <w:spacing w:before="0" w:after="283"/>
              <w:jc w:val="left"/>
              <w:rPr/>
            </w:pPr>
            <w:r>
              <w:rPr/>
              <w:t> </w:t>
            </w:r>
          </w:p>
        </w:tc>
        <w:tc>
          <w:tcPr>
            <w:tcW w:w="602" w:type="dxa"/>
            <w:tcBorders/>
            <w:tcMar>
              <w:bottom w:w="0" w:type="dxa"/>
            </w:tcMar>
            <w:vAlign w:val="center"/>
          </w:tcPr>
          <w:p>
            <w:pPr>
              <w:pStyle w:val="TableContents"/>
              <w:bidi w:val="0"/>
              <w:spacing w:before="0" w:after="283"/>
              <w:jc w:val="left"/>
              <w:rPr/>
            </w:pPr>
            <w:r>
              <w:rPr/>
              <w:t> </w:t>
            </w:r>
          </w:p>
        </w:tc>
        <w:tc>
          <w:tcPr>
            <w:tcW w:w="948" w:type="dxa"/>
            <w:tcBorders>
              <w:bottom w:val="single" w:sz="8" w:space="0" w:color="000000"/>
            </w:tcBorders>
            <w:vAlign w:val="center"/>
          </w:tcPr>
          <w:p>
            <w:pPr>
              <w:pStyle w:val="TableContents"/>
              <w:bidi w:val="0"/>
              <w:spacing w:before="0" w:after="283"/>
              <w:jc w:val="center"/>
              <w:rPr>
                <w:b/>
                <w:sz w:val="20"/>
              </w:rPr>
            </w:pPr>
            <w:r>
              <w:rPr>
                <w:b/>
                <w:sz w:val="20"/>
              </w:rPr>
              <w:t>Unaudited</w:t>
            </w:r>
          </w:p>
        </w:tc>
        <w:tc>
          <w:tcPr>
            <w:tcW w:w="951" w:type="dxa"/>
            <w:tcBorders>
              <w:bottom w:val="single" w:sz="8" w:space="0" w:color="000000"/>
            </w:tcBorders>
            <w:vAlign w:val="center"/>
          </w:tcPr>
          <w:p>
            <w:pPr>
              <w:pStyle w:val="TableContents"/>
              <w:bidi w:val="0"/>
              <w:spacing w:before="0" w:after="283"/>
              <w:jc w:val="left"/>
              <w:rPr/>
            </w:pPr>
            <w:r>
              <w:rPr/>
              <w:t> </w:t>
            </w:r>
          </w:p>
        </w:tc>
      </w:tr>
      <w:tr>
        <w:trPr/>
        <w:tc>
          <w:tcPr>
            <w:tcW w:w="2465" w:type="dxa"/>
            <w:tcBorders>
              <w:bottom w:val="single" w:sz="8" w:space="0" w:color="000000"/>
            </w:tcBorders>
            <w:vAlign w:val="center"/>
          </w:tcPr>
          <w:p>
            <w:pPr>
              <w:pStyle w:val="TableContents"/>
              <w:bidi w:val="0"/>
              <w:spacing w:before="0" w:after="283"/>
              <w:jc w:val="left"/>
              <w:rPr>
                <w:b/>
                <w:sz w:val="20"/>
              </w:rPr>
            </w:pPr>
            <w:r>
              <w:rPr>
                <w:b/>
                <w:sz w:val="20"/>
              </w:rPr>
              <w:t>Assets</w:t>
            </w:r>
          </w:p>
        </w:tc>
        <w:tc>
          <w:tcPr>
            <w:tcW w:w="485" w:type="dxa"/>
            <w:tcBorders/>
            <w:tcMar>
              <w:bottom w:w="0" w:type="dxa"/>
            </w:tcMar>
            <w:vAlign w:val="center"/>
          </w:tcPr>
          <w:p>
            <w:pPr>
              <w:pStyle w:val="TableContents"/>
              <w:bidi w:val="0"/>
              <w:spacing w:before="0" w:after="283"/>
              <w:jc w:val="center"/>
              <w:rPr>
                <w:b/>
                <w:sz w:val="20"/>
              </w:rPr>
            </w:pPr>
            <w:r>
              <w:rPr>
                <w:b/>
                <w:sz w:val="20"/>
              </w:rPr>
              <w:t>Notes</w:t>
            </w:r>
          </w:p>
        </w:tc>
        <w:tc>
          <w:tcPr>
            <w:tcW w:w="948" w:type="dxa"/>
            <w:tcBorders>
              <w:bottom w:val="single" w:sz="8" w:space="0" w:color="000000"/>
            </w:tcBorders>
            <w:vAlign w:val="center"/>
          </w:tcPr>
          <w:p>
            <w:pPr>
              <w:pStyle w:val="TableContents"/>
              <w:bidi w:val="0"/>
              <w:spacing w:before="0" w:after="283"/>
              <w:jc w:val="center"/>
              <w:rPr>
                <w:b/>
                <w:sz w:val="20"/>
              </w:rPr>
            </w:pPr>
            <w:r>
              <w:rPr>
                <w:b/>
                <w:sz w:val="20"/>
              </w:rPr>
              <w:t>06/30/2026</w:t>
            </w:r>
          </w:p>
        </w:tc>
        <w:tc>
          <w:tcPr>
            <w:tcW w:w="932" w:type="dxa"/>
            <w:tcBorders>
              <w:bottom w:val="single" w:sz="8" w:space="0" w:color="000000"/>
            </w:tcBorders>
            <w:vAlign w:val="center"/>
          </w:tcPr>
          <w:p>
            <w:pPr>
              <w:pStyle w:val="TableContents"/>
              <w:bidi w:val="0"/>
              <w:spacing w:before="0" w:after="283"/>
              <w:jc w:val="center"/>
              <w:rPr>
                <w:b/>
                <w:sz w:val="20"/>
              </w:rPr>
            </w:pPr>
            <w:r>
              <w:rPr>
                <w:b/>
                <w:sz w:val="20"/>
              </w:rPr>
              <w:t>12/31/2025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bottom w:val="single" w:sz="8" w:space="0" w:color="000000"/>
            </w:tcBorders>
            <w:vAlign w:val="center"/>
          </w:tcPr>
          <w:p>
            <w:pPr>
              <w:pStyle w:val="TableContents"/>
              <w:bidi w:val="0"/>
              <w:spacing w:before="0" w:after="283"/>
              <w:jc w:val="left"/>
              <w:rPr>
                <w:b/>
                <w:sz w:val="20"/>
              </w:rPr>
            </w:pPr>
            <w:r>
              <w:rPr>
                <w:b/>
                <w:sz w:val="20"/>
              </w:rPr>
              <w:t>Liabilities and equity</w:t>
            </w:r>
          </w:p>
        </w:tc>
        <w:tc>
          <w:tcPr>
            <w:tcW w:w="602" w:type="dxa"/>
            <w:tcBorders/>
            <w:tcMar>
              <w:bottom w:w="0" w:type="dxa"/>
            </w:tcMar>
            <w:vAlign w:val="center"/>
          </w:tcPr>
          <w:p>
            <w:pPr>
              <w:pStyle w:val="TableContents"/>
              <w:bidi w:val="0"/>
              <w:spacing w:before="0" w:after="283"/>
              <w:jc w:val="center"/>
              <w:rPr>
                <w:b/>
                <w:sz w:val="20"/>
              </w:rPr>
            </w:pPr>
            <w:r>
              <w:rPr>
                <w:b/>
                <w:sz w:val="20"/>
              </w:rPr>
              <w:t>Notes</w:t>
            </w:r>
          </w:p>
        </w:tc>
        <w:tc>
          <w:tcPr>
            <w:tcW w:w="948" w:type="dxa"/>
            <w:tcBorders>
              <w:bottom w:val="single" w:sz="8" w:space="0" w:color="000000"/>
            </w:tcBorders>
            <w:vAlign w:val="center"/>
          </w:tcPr>
          <w:p>
            <w:pPr>
              <w:pStyle w:val="TableContents"/>
              <w:bidi w:val="0"/>
              <w:spacing w:before="0" w:after="283"/>
              <w:jc w:val="center"/>
              <w:rPr>
                <w:b/>
                <w:sz w:val="20"/>
              </w:rPr>
            </w:pPr>
            <w:r>
              <w:rPr>
                <w:b/>
                <w:sz w:val="20"/>
              </w:rPr>
              <w:t>06/30/2026</w:t>
            </w:r>
          </w:p>
        </w:tc>
        <w:tc>
          <w:tcPr>
            <w:tcW w:w="951" w:type="dxa"/>
            <w:tcBorders>
              <w:bottom w:val="single" w:sz="8" w:space="0" w:color="000000"/>
            </w:tcBorders>
            <w:vAlign w:val="center"/>
          </w:tcPr>
          <w:p>
            <w:pPr>
              <w:pStyle w:val="TableContents"/>
              <w:bidi w:val="0"/>
              <w:spacing w:before="0" w:after="283"/>
              <w:jc w:val="center"/>
              <w:rPr>
                <w:b/>
                <w:sz w:val="20"/>
              </w:rPr>
            </w:pPr>
            <w:r>
              <w:rPr>
                <w:b/>
                <w:sz w:val="20"/>
              </w:rPr>
              <w:t>12/31/2025</w:t>
            </w:r>
          </w:p>
        </w:tc>
      </w:tr>
      <w:tr>
        <w:trPr/>
        <w:tc>
          <w:tcPr>
            <w:tcW w:w="2465" w:type="dxa"/>
            <w:tcBorders/>
            <w:tcMar>
              <w:bottom w:w="0" w:type="dxa"/>
            </w:tcMar>
            <w:vAlign w:val="center"/>
          </w:tcPr>
          <w:p>
            <w:pPr>
              <w:pStyle w:val="TableContents"/>
              <w:bidi w:val="0"/>
              <w:spacing w:before="0" w:after="283"/>
              <w:jc w:val="center"/>
              <w:rPr/>
            </w:pPr>
            <w:r>
              <w:rPr/>
              <w:t> </w:t>
            </w:r>
          </w:p>
        </w:tc>
        <w:tc>
          <w:tcPr>
            <w:tcW w:w="485" w:type="dxa"/>
            <w:tcBorders/>
            <w:tcMar>
              <w:bottom w:w="0" w:type="dxa"/>
            </w:tcMar>
            <w:vAlign w:val="center"/>
          </w:tcPr>
          <w:p>
            <w:pPr>
              <w:pStyle w:val="TableContents"/>
              <w:bidi w:val="0"/>
              <w:spacing w:before="0" w:after="283"/>
              <w:jc w:val="left"/>
              <w:rPr/>
            </w:pPr>
            <w:r>
              <w:rPr/>
              <w:t> </w:t>
            </w:r>
          </w:p>
        </w:tc>
        <w:tc>
          <w:tcPr>
            <w:tcW w:w="94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tcMar>
              <w:bottom w:w="0" w:type="dxa"/>
            </w:tcMar>
            <w:vAlign w:val="center"/>
          </w:tcPr>
          <w:p>
            <w:pPr>
              <w:pStyle w:val="TableContents"/>
              <w:bidi w:val="0"/>
              <w:spacing w:before="0" w:after="283"/>
              <w:jc w:val="left"/>
              <w:rPr/>
            </w:pPr>
            <w:r>
              <w:rPr/>
              <w:t> </w:t>
            </w:r>
          </w:p>
        </w:tc>
        <w:tc>
          <w:tcPr>
            <w:tcW w:w="602" w:type="dxa"/>
            <w:tcBorders/>
            <w:tcMar>
              <w:bottom w:w="0" w:type="dxa"/>
            </w:tcMar>
            <w:vAlign w:val="center"/>
          </w:tcPr>
          <w:p>
            <w:pPr>
              <w:pStyle w:val="TableContents"/>
              <w:bidi w:val="0"/>
              <w:spacing w:before="0" w:after="283"/>
              <w:jc w:val="left"/>
              <w:rPr/>
            </w:pPr>
            <w:r>
              <w:rPr/>
              <w:t> </w:t>
            </w:r>
          </w:p>
        </w:tc>
        <w:tc>
          <w:tcPr>
            <w:tcW w:w="948" w:type="dxa"/>
            <w:tcBorders/>
            <w:tcMar>
              <w:bottom w:w="0" w:type="dxa"/>
            </w:tcMar>
            <w:vAlign w:val="center"/>
          </w:tcPr>
          <w:p>
            <w:pPr>
              <w:pStyle w:val="TableContents"/>
              <w:bidi w:val="0"/>
              <w:spacing w:before="0" w:after="283"/>
              <w:jc w:val="left"/>
              <w:rPr/>
            </w:pPr>
            <w:r>
              <w:rPr/>
              <w:t> </w:t>
            </w:r>
          </w:p>
        </w:tc>
        <w:tc>
          <w:tcPr>
            <w:tcW w:w="951" w:type="dxa"/>
            <w:tcBorders/>
            <w:tcMar>
              <w:bottom w:w="0" w:type="dxa"/>
            </w:tcMar>
            <w:vAlign w:val="center"/>
          </w:tcPr>
          <w:p>
            <w:pPr>
              <w:pStyle w:val="TableContents"/>
              <w:bidi w:val="0"/>
              <w:spacing w:before="0" w:after="283"/>
              <w:jc w:val="left"/>
              <w:rPr/>
            </w:pPr>
            <w:r>
              <w:rPr/>
              <w:t> </w:t>
            </w:r>
          </w:p>
        </w:tc>
      </w:tr>
      <w:tr>
        <w:trPr/>
        <w:tc>
          <w:tcPr>
            <w:tcW w:w="2465" w:type="dxa"/>
            <w:tcBorders/>
            <w:shd w:fill="D5EAEA" w:val="clear"/>
            <w:tcMar>
              <w:bottom w:w="0" w:type="dxa"/>
            </w:tcMar>
            <w:vAlign w:val="center"/>
          </w:tcPr>
          <w:p>
            <w:pPr>
              <w:pStyle w:val="TableContents"/>
              <w:bidi w:val="0"/>
              <w:spacing w:before="0" w:after="283"/>
              <w:jc w:val="left"/>
              <w:rPr>
                <w:sz w:val="20"/>
              </w:rPr>
            </w:pPr>
            <w:r>
              <w:rPr>
                <w:sz w:val="20"/>
              </w:rPr>
              <w:t>Cash and cash equivalents</w:t>
            </w:r>
          </w:p>
        </w:tc>
        <w:tc>
          <w:tcPr>
            <w:tcW w:w="485" w:type="dxa"/>
            <w:tcBorders/>
            <w:shd w:fill="D5EAEA" w:val="clear"/>
            <w:tcMar>
              <w:bottom w:w="0" w:type="dxa"/>
            </w:tcMar>
            <w:vAlign w:val="center"/>
          </w:tcPr>
          <w:p>
            <w:pPr>
              <w:pStyle w:val="TableContents"/>
              <w:bidi w:val="0"/>
              <w:spacing w:before="0" w:after="283"/>
              <w:jc w:val="center"/>
              <w:rPr>
                <w:sz w:val="20"/>
              </w:rPr>
            </w:pPr>
            <w:r>
              <w:rPr>
                <w:sz w:val="20"/>
              </w:rPr>
              <w:t>6</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58,873</w:t>
            </w:r>
          </w:p>
        </w:tc>
        <w:tc>
          <w:tcPr>
            <w:tcW w:w="932" w:type="dxa"/>
            <w:tcBorders/>
            <w:shd w:fill="D5EAEA" w:val="clear"/>
            <w:tcMar>
              <w:bottom w:w="0" w:type="dxa"/>
            </w:tcMar>
            <w:vAlign w:val="center"/>
          </w:tcPr>
          <w:p>
            <w:pPr>
              <w:pStyle w:val="TableContents"/>
              <w:bidi w:val="0"/>
              <w:spacing w:before="0" w:after="283"/>
              <w:jc w:val="right"/>
              <w:rPr>
                <w:sz w:val="20"/>
              </w:rPr>
            </w:pPr>
            <w:r>
              <w:rPr>
                <w:sz w:val="20"/>
              </w:rPr>
              <w:t>3,601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Client funds payable</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7</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24,914</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25,868</w:t>
            </w:r>
          </w:p>
        </w:tc>
      </w:tr>
      <w:tr>
        <w:trPr/>
        <w:tc>
          <w:tcPr>
            <w:tcW w:w="2465" w:type="dxa"/>
            <w:tcBorders/>
            <w:shd w:fill="FFFFFF" w:val="clear"/>
            <w:tcMar>
              <w:bottom w:w="0" w:type="dxa"/>
            </w:tcMar>
            <w:vAlign w:val="center"/>
          </w:tcPr>
          <w:p>
            <w:pPr>
              <w:pStyle w:val="TableContents"/>
              <w:bidi w:val="0"/>
              <w:spacing w:before="0" w:after="283"/>
              <w:jc w:val="left"/>
              <w:rPr>
                <w:sz w:val="20"/>
              </w:rPr>
            </w:pPr>
            <w:r>
              <w:rPr>
                <w:sz w:val="20"/>
              </w:rPr>
              <w:t xml:space="preserve">Client funds on deposit and receivable </w:t>
            </w:r>
          </w:p>
        </w:tc>
        <w:tc>
          <w:tcPr>
            <w:tcW w:w="485" w:type="dxa"/>
            <w:tcBorders/>
            <w:shd w:fill="FFFFFF" w:val="clear"/>
            <w:tcMar>
              <w:bottom w:w="0" w:type="dxa"/>
            </w:tcMar>
            <w:vAlign w:val="center"/>
          </w:tcPr>
          <w:p>
            <w:pPr>
              <w:pStyle w:val="TableContents"/>
              <w:bidi w:val="0"/>
              <w:spacing w:before="0" w:after="283"/>
              <w:jc w:val="center"/>
              <w:rPr>
                <w:sz w:val="20"/>
              </w:rPr>
            </w:pPr>
            <w:r>
              <w:rPr>
                <w:sz w:val="20"/>
              </w:rPr>
              <w:t>7</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24,914</w:t>
            </w:r>
          </w:p>
        </w:tc>
        <w:tc>
          <w:tcPr>
            <w:tcW w:w="932" w:type="dxa"/>
            <w:tcBorders/>
            <w:shd w:fill="FFFFFF" w:val="clear"/>
            <w:tcMar>
              <w:bottom w:w="0" w:type="dxa"/>
            </w:tcMar>
            <w:vAlign w:val="center"/>
          </w:tcPr>
          <w:p>
            <w:pPr>
              <w:pStyle w:val="TableContents"/>
              <w:bidi w:val="0"/>
              <w:spacing w:before="0" w:after="283"/>
              <w:jc w:val="right"/>
              <w:rPr>
                <w:sz w:val="20"/>
              </w:rPr>
            </w:pPr>
            <w:r>
              <w:rPr>
                <w:sz w:val="20"/>
              </w:rPr>
              <w:t>25,868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sz w:val="20"/>
              </w:rPr>
            </w:pPr>
            <w:r>
              <w:rPr>
                <w:sz w:val="20"/>
              </w:rPr>
              <w:t>Energy trading contracts</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12(c)</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71,614</w:t>
            </w:r>
          </w:p>
        </w:tc>
        <w:tc>
          <w:tcPr>
            <w:tcW w:w="951" w:type="dxa"/>
            <w:tcBorders/>
            <w:shd w:fill="FFFFFF" w:val="clear"/>
            <w:tcMar>
              <w:bottom w:w="0" w:type="dxa"/>
            </w:tcMar>
            <w:vAlign w:val="center"/>
          </w:tcPr>
          <w:p>
            <w:pPr>
              <w:pStyle w:val="TableContents"/>
              <w:bidi w:val="0"/>
              <w:spacing w:before="0" w:after="283"/>
              <w:jc w:val="right"/>
              <w:rPr>
                <w:sz w:val="20"/>
              </w:rPr>
            </w:pPr>
            <w:r>
              <w:rPr>
                <w:sz w:val="20"/>
              </w:rPr>
              <w:t>117,423</w:t>
            </w:r>
          </w:p>
        </w:tc>
      </w:tr>
      <w:tr>
        <w:trPr/>
        <w:tc>
          <w:tcPr>
            <w:tcW w:w="2465" w:type="dxa"/>
            <w:tcBorders/>
            <w:shd w:fill="D5EAEA" w:val="clear"/>
            <w:tcMar>
              <w:bottom w:w="0" w:type="dxa"/>
            </w:tcMar>
            <w:vAlign w:val="center"/>
          </w:tcPr>
          <w:p>
            <w:pPr>
              <w:pStyle w:val="TableContents"/>
              <w:bidi w:val="0"/>
              <w:spacing w:before="0" w:after="283"/>
              <w:jc w:val="left"/>
              <w:rPr>
                <w:sz w:val="20"/>
              </w:rPr>
            </w:pPr>
            <w:r>
              <w:rPr>
                <w:sz w:val="20"/>
              </w:rPr>
              <w:t>Accounts receivable</w:t>
            </w:r>
          </w:p>
        </w:tc>
        <w:tc>
          <w:tcPr>
            <w:tcW w:w="485" w:type="dxa"/>
            <w:tcBorders/>
            <w:shd w:fill="D5EAEA" w:val="clear"/>
            <w:tcMar>
              <w:bottom w:w="0" w:type="dxa"/>
            </w:tcMar>
            <w:vAlign w:val="center"/>
          </w:tcPr>
          <w:p>
            <w:pPr>
              <w:pStyle w:val="TableContents"/>
              <w:bidi w:val="0"/>
              <w:spacing w:before="0" w:after="283"/>
              <w:jc w:val="center"/>
              <w:rPr>
                <w:sz w:val="20"/>
              </w:rPr>
            </w:pPr>
            <w:r>
              <w:rPr>
                <w:sz w:val="20"/>
              </w:rPr>
              <w:t>8</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297,839</w:t>
            </w:r>
          </w:p>
        </w:tc>
        <w:tc>
          <w:tcPr>
            <w:tcW w:w="932" w:type="dxa"/>
            <w:tcBorders/>
            <w:shd w:fill="D5EAEA" w:val="clear"/>
            <w:tcMar>
              <w:bottom w:w="0" w:type="dxa"/>
            </w:tcMar>
            <w:vAlign w:val="center"/>
          </w:tcPr>
          <w:p>
            <w:pPr>
              <w:pStyle w:val="TableContents"/>
              <w:bidi w:val="0"/>
              <w:spacing w:before="0" w:after="283"/>
              <w:jc w:val="right"/>
              <w:rPr>
                <w:sz w:val="20"/>
              </w:rPr>
            </w:pPr>
            <w:r>
              <w:rPr>
                <w:sz w:val="20"/>
              </w:rPr>
              <w:t>118,576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Other financial instruments</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12(c)</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5,388</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w:t>
            </w:r>
          </w:p>
        </w:tc>
      </w:tr>
      <w:tr>
        <w:trPr/>
        <w:tc>
          <w:tcPr>
            <w:tcW w:w="2465" w:type="dxa"/>
            <w:tcBorders/>
            <w:shd w:fill="FFFFFF" w:val="clear"/>
            <w:tcMar>
              <w:bottom w:w="0" w:type="dxa"/>
            </w:tcMar>
            <w:vAlign w:val="center"/>
          </w:tcPr>
          <w:p>
            <w:pPr>
              <w:pStyle w:val="TableContents"/>
              <w:bidi w:val="0"/>
              <w:spacing w:before="0" w:after="283"/>
              <w:jc w:val="left"/>
              <w:rPr>
                <w:sz w:val="20"/>
              </w:rPr>
            </w:pPr>
            <w:r>
              <w:rPr>
                <w:sz w:val="20"/>
              </w:rPr>
              <w:t>Project advances</w:t>
            </w:r>
          </w:p>
        </w:tc>
        <w:tc>
          <w:tcPr>
            <w:tcW w:w="485" w:type="dxa"/>
            <w:tcBorders/>
            <w:shd w:fill="FFFFFF" w:val="clear"/>
            <w:tcMar>
              <w:bottom w:w="0" w:type="dxa"/>
            </w:tcMar>
            <w:vAlign w:val="center"/>
          </w:tcPr>
          <w:p>
            <w:pPr>
              <w:pStyle w:val="TableContents"/>
              <w:bidi w:val="0"/>
              <w:spacing w:before="0" w:after="283"/>
              <w:jc w:val="center"/>
              <w:rPr>
                <w:sz w:val="20"/>
              </w:rPr>
            </w:pPr>
            <w:r>
              <w:rPr>
                <w:sz w:val="20"/>
              </w:rPr>
              <w:t>9</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18,044</w:t>
            </w:r>
          </w:p>
        </w:tc>
        <w:tc>
          <w:tcPr>
            <w:tcW w:w="932" w:type="dxa"/>
            <w:tcBorders/>
            <w:shd w:fill="FFFFFF" w:val="clear"/>
            <w:tcMar>
              <w:bottom w:w="0" w:type="dxa"/>
            </w:tcMar>
            <w:vAlign w:val="center"/>
          </w:tcPr>
          <w:p>
            <w:pPr>
              <w:pStyle w:val="TableContents"/>
              <w:bidi w:val="0"/>
              <w:spacing w:before="0" w:after="283"/>
              <w:jc w:val="right"/>
              <w:rPr>
                <w:sz w:val="20"/>
              </w:rPr>
            </w:pPr>
            <w:r>
              <w:rPr>
                <w:sz w:val="20"/>
              </w:rPr>
              <w:t>12,270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sz w:val="20"/>
              </w:rPr>
            </w:pPr>
            <w:r>
              <w:rPr>
                <w:sz w:val="20"/>
              </w:rPr>
              <w:t>Personnel and related contributions payable</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15</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50,702</w:t>
            </w:r>
          </w:p>
        </w:tc>
        <w:tc>
          <w:tcPr>
            <w:tcW w:w="951" w:type="dxa"/>
            <w:tcBorders/>
            <w:shd w:fill="FFFFFF" w:val="clear"/>
            <w:tcMar>
              <w:bottom w:w="0" w:type="dxa"/>
            </w:tcMar>
            <w:vAlign w:val="center"/>
          </w:tcPr>
          <w:p>
            <w:pPr>
              <w:pStyle w:val="TableContents"/>
              <w:bidi w:val="0"/>
              <w:spacing w:before="0" w:after="283"/>
              <w:jc w:val="right"/>
              <w:rPr>
                <w:sz w:val="20"/>
              </w:rPr>
            </w:pPr>
            <w:r>
              <w:rPr>
                <w:sz w:val="20"/>
              </w:rPr>
              <w:t>58,147</w:t>
            </w:r>
          </w:p>
        </w:tc>
      </w:tr>
      <w:tr>
        <w:trPr/>
        <w:tc>
          <w:tcPr>
            <w:tcW w:w="2465" w:type="dxa"/>
            <w:tcBorders/>
            <w:shd w:fill="D5EAEA" w:val="clear"/>
            <w:tcMar>
              <w:bottom w:w="0" w:type="dxa"/>
            </w:tcMar>
            <w:vAlign w:val="center"/>
          </w:tcPr>
          <w:p>
            <w:pPr>
              <w:pStyle w:val="TableContents"/>
              <w:bidi w:val="0"/>
              <w:spacing w:before="0" w:after="283"/>
              <w:jc w:val="left"/>
              <w:rPr>
                <w:sz w:val="20"/>
              </w:rPr>
            </w:pPr>
            <w:r>
              <w:rPr>
                <w:sz w:val="20"/>
              </w:rPr>
              <w:t>Other current assets</w:t>
            </w:r>
          </w:p>
        </w:tc>
        <w:tc>
          <w:tcPr>
            <w:tcW w:w="485" w:type="dxa"/>
            <w:tcBorders/>
            <w:shd w:fill="D5EAEA" w:val="clear"/>
            <w:tcMar>
              <w:bottom w:w="0" w:type="dxa"/>
            </w:tcMar>
            <w:vAlign w:val="center"/>
          </w:tcPr>
          <w:p>
            <w:pPr>
              <w:pStyle w:val="TableContents"/>
              <w:bidi w:val="0"/>
              <w:spacing w:before="0" w:after="283"/>
              <w:jc w:val="center"/>
              <w:rPr>
                <w:sz w:val="20"/>
              </w:rPr>
            </w:pPr>
            <w:r>
              <w:rPr>
                <w:sz w:val="20"/>
              </w:rPr>
              <w:t>10</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21,557</w:t>
            </w:r>
          </w:p>
        </w:tc>
        <w:tc>
          <w:tcPr>
            <w:tcW w:w="932" w:type="dxa"/>
            <w:tcBorders/>
            <w:shd w:fill="D5EAEA" w:val="clear"/>
            <w:tcMar>
              <w:bottom w:w="0" w:type="dxa"/>
            </w:tcMar>
            <w:vAlign w:val="center"/>
          </w:tcPr>
          <w:p>
            <w:pPr>
              <w:pStyle w:val="TableContents"/>
              <w:bidi w:val="0"/>
              <w:spacing w:before="0" w:after="283"/>
              <w:jc w:val="right"/>
              <w:rPr>
                <w:sz w:val="20"/>
              </w:rPr>
            </w:pPr>
            <w:r>
              <w:rPr>
                <w:sz w:val="20"/>
              </w:rPr>
              <w:t>16,058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Loans</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16</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2,237</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w:t>
            </w:r>
          </w:p>
        </w:tc>
      </w:tr>
      <w:tr>
        <w:trPr/>
        <w:tc>
          <w:tcPr>
            <w:tcW w:w="2465" w:type="dxa"/>
            <w:tcBorders/>
            <w:shd w:fill="FFFFFF" w:val="clear"/>
            <w:tcMar>
              <w:bottom w:w="0" w:type="dxa"/>
            </w:tcMar>
            <w:vAlign w:val="center"/>
          </w:tcPr>
          <w:p>
            <w:pPr>
              <w:pStyle w:val="TableContents"/>
              <w:bidi w:val="0"/>
              <w:spacing w:before="0" w:after="283"/>
              <w:jc w:val="left"/>
              <w:rPr>
                <w:sz w:val="20"/>
              </w:rPr>
            </w:pPr>
            <w:r>
              <w:rPr>
                <w:sz w:val="20"/>
              </w:rPr>
              <w:t>Recoverable taxes</w:t>
            </w:r>
          </w:p>
        </w:tc>
        <w:tc>
          <w:tcPr>
            <w:tcW w:w="485" w:type="dxa"/>
            <w:tcBorders/>
            <w:shd w:fill="FFFFFF" w:val="clear"/>
            <w:tcMar>
              <w:bottom w:w="0" w:type="dxa"/>
            </w:tcMar>
            <w:vAlign w:val="center"/>
          </w:tcPr>
          <w:p>
            <w:pPr>
              <w:pStyle w:val="TableContents"/>
              <w:bidi w:val="0"/>
              <w:spacing w:before="0" w:after="283"/>
              <w:jc w:val="center"/>
              <w:rPr>
                <w:sz w:val="20"/>
              </w:rPr>
            </w:pPr>
            <w:r>
              <w:rPr>
                <w:sz w:val="20"/>
              </w:rPr>
              <w:t>11</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3,483</w:t>
            </w:r>
          </w:p>
        </w:tc>
        <w:tc>
          <w:tcPr>
            <w:tcW w:w="932" w:type="dxa"/>
            <w:tcBorders/>
            <w:shd w:fill="FFFFFF" w:val="clear"/>
            <w:tcMar>
              <w:bottom w:w="0" w:type="dxa"/>
            </w:tcMar>
            <w:vAlign w:val="center"/>
          </w:tcPr>
          <w:p>
            <w:pPr>
              <w:pStyle w:val="TableContents"/>
              <w:bidi w:val="0"/>
              <w:spacing w:before="0" w:after="283"/>
              <w:jc w:val="right"/>
              <w:rPr>
                <w:sz w:val="20"/>
              </w:rPr>
            </w:pPr>
            <w:r>
              <w:rPr>
                <w:sz w:val="20"/>
              </w:rPr>
              <w:t>9,307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sz w:val="20"/>
              </w:rPr>
            </w:pPr>
            <w:r>
              <w:rPr>
                <w:sz w:val="20"/>
              </w:rPr>
              <w:t>Taxes payable</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17</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11,335</w:t>
            </w:r>
          </w:p>
        </w:tc>
        <w:tc>
          <w:tcPr>
            <w:tcW w:w="951" w:type="dxa"/>
            <w:tcBorders/>
            <w:shd w:fill="FFFFFF" w:val="clear"/>
            <w:tcMar>
              <w:bottom w:w="0" w:type="dxa"/>
            </w:tcMar>
            <w:vAlign w:val="center"/>
          </w:tcPr>
          <w:p>
            <w:pPr>
              <w:pStyle w:val="TableContents"/>
              <w:bidi w:val="0"/>
              <w:spacing w:before="0" w:after="283"/>
              <w:jc w:val="right"/>
              <w:rPr>
                <w:sz w:val="20"/>
              </w:rPr>
            </w:pPr>
            <w:r>
              <w:rPr>
                <w:sz w:val="20"/>
              </w:rPr>
              <w:t>12,037</w:t>
            </w:r>
          </w:p>
        </w:tc>
      </w:tr>
      <w:tr>
        <w:trPr/>
        <w:tc>
          <w:tcPr>
            <w:tcW w:w="2465" w:type="dxa"/>
            <w:tcBorders/>
            <w:shd w:fill="D5EAEA" w:val="clear"/>
            <w:tcMar>
              <w:bottom w:w="0" w:type="dxa"/>
            </w:tcMar>
            <w:vAlign w:val="center"/>
          </w:tcPr>
          <w:p>
            <w:pPr>
              <w:pStyle w:val="TableContents"/>
              <w:bidi w:val="0"/>
              <w:spacing w:before="0" w:after="283"/>
              <w:jc w:val="left"/>
              <w:rPr>
                <w:sz w:val="20"/>
              </w:rPr>
            </w:pPr>
            <w:r>
              <w:rPr>
                <w:sz w:val="20"/>
              </w:rPr>
              <w:t>Short term investments</w:t>
            </w:r>
          </w:p>
        </w:tc>
        <w:tc>
          <w:tcPr>
            <w:tcW w:w="485" w:type="dxa"/>
            <w:tcBorders/>
            <w:shd w:fill="D5EAEA" w:val="clear"/>
            <w:tcMar>
              <w:bottom w:w="0" w:type="dxa"/>
            </w:tcMar>
            <w:vAlign w:val="center"/>
          </w:tcPr>
          <w:p>
            <w:pPr>
              <w:pStyle w:val="TableContents"/>
              <w:bidi w:val="0"/>
              <w:spacing w:before="0" w:after="283"/>
              <w:jc w:val="center"/>
              <w:rPr>
                <w:sz w:val="20"/>
              </w:rPr>
            </w:pPr>
            <w:r>
              <w:rPr>
                <w:sz w:val="20"/>
              </w:rPr>
              <w:t>12(a)</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54,587</w:t>
            </w:r>
          </w:p>
        </w:tc>
        <w:tc>
          <w:tcPr>
            <w:tcW w:w="932" w:type="dxa"/>
            <w:tcBorders/>
            <w:shd w:fill="D5EAEA" w:val="clear"/>
            <w:tcMar>
              <w:bottom w:w="0" w:type="dxa"/>
            </w:tcMar>
            <w:vAlign w:val="center"/>
          </w:tcPr>
          <w:p>
            <w:pPr>
              <w:pStyle w:val="TableContents"/>
              <w:bidi w:val="0"/>
              <w:spacing w:before="0" w:after="283"/>
              <w:jc w:val="right"/>
              <w:rPr>
                <w:sz w:val="20"/>
              </w:rPr>
            </w:pPr>
            <w:r>
              <w:rPr>
                <w:sz w:val="20"/>
              </w:rPr>
              <w:t>5,111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Other current liabilities</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18</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247,760</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63,747</w:t>
            </w:r>
          </w:p>
        </w:tc>
      </w:tr>
      <w:tr>
        <w:trPr/>
        <w:tc>
          <w:tcPr>
            <w:tcW w:w="2465" w:type="dxa"/>
            <w:tcBorders/>
            <w:shd w:fill="FFFFFF" w:val="clear"/>
            <w:tcMar>
              <w:bottom w:w="0" w:type="dxa"/>
            </w:tcMar>
            <w:vAlign w:val="center"/>
          </w:tcPr>
          <w:p>
            <w:pPr>
              <w:pStyle w:val="TableContents"/>
              <w:bidi w:val="0"/>
              <w:spacing w:before="0" w:after="283"/>
              <w:jc w:val="left"/>
              <w:rPr>
                <w:sz w:val="20"/>
              </w:rPr>
            </w:pPr>
            <w:r>
              <w:rPr>
                <w:sz w:val="20"/>
              </w:rPr>
              <w:t>Energy trading contracts</w:t>
            </w:r>
          </w:p>
        </w:tc>
        <w:tc>
          <w:tcPr>
            <w:tcW w:w="485" w:type="dxa"/>
            <w:tcBorders/>
            <w:shd w:fill="FFFFFF" w:val="clear"/>
            <w:tcMar>
              <w:bottom w:w="0" w:type="dxa"/>
            </w:tcMar>
            <w:vAlign w:val="center"/>
          </w:tcPr>
          <w:p>
            <w:pPr>
              <w:pStyle w:val="TableContents"/>
              <w:bidi w:val="0"/>
              <w:spacing w:before="0" w:after="283"/>
              <w:jc w:val="center"/>
              <w:rPr>
                <w:sz w:val="20"/>
              </w:rPr>
            </w:pPr>
            <w:r>
              <w:rPr>
                <w:sz w:val="20"/>
              </w:rPr>
              <w:t>12(c)</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94,463</w:t>
            </w:r>
          </w:p>
        </w:tc>
        <w:tc>
          <w:tcPr>
            <w:tcW w:w="932" w:type="dxa"/>
            <w:tcBorders/>
            <w:shd w:fill="FFFFFF" w:val="clear"/>
            <w:tcMar>
              <w:bottom w:w="0" w:type="dxa"/>
            </w:tcMar>
            <w:vAlign w:val="center"/>
          </w:tcPr>
          <w:p>
            <w:pPr>
              <w:pStyle w:val="TableContents"/>
              <w:bidi w:val="0"/>
              <w:spacing w:before="0" w:after="283"/>
              <w:jc w:val="right"/>
              <w:rPr>
                <w:sz w:val="20"/>
              </w:rPr>
            </w:pPr>
            <w:r>
              <w:rPr>
                <w:sz w:val="20"/>
              </w:rPr>
              <w:t>133,281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sz w:val="20"/>
              </w:rPr>
            </w:pPr>
            <w:r>
              <w:rPr>
                <w:sz w:val="20"/>
              </w:rPr>
              <w:t>Consideration payable from acquisition</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21(b)</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117,670</w:t>
            </w:r>
          </w:p>
        </w:tc>
        <w:tc>
          <w:tcPr>
            <w:tcW w:w="951" w:type="dxa"/>
            <w:tcBorders/>
            <w:shd w:fill="FFFFFF" w:val="clear"/>
            <w:tcMar>
              <w:bottom w:w="0" w:type="dxa"/>
            </w:tcMar>
            <w:vAlign w:val="center"/>
          </w:tcPr>
          <w:p>
            <w:pPr>
              <w:pStyle w:val="TableContents"/>
              <w:bidi w:val="0"/>
              <w:spacing w:before="0" w:after="283"/>
              <w:jc w:val="right"/>
              <w:rPr>
                <w:sz w:val="20"/>
              </w:rPr>
            </w:pPr>
            <w:r>
              <w:rPr>
                <w:sz w:val="20"/>
              </w:rPr>
              <w:t>118,459</w:t>
            </w:r>
          </w:p>
        </w:tc>
      </w:tr>
      <w:tr>
        <w:trPr/>
        <w:tc>
          <w:tcPr>
            <w:tcW w:w="2465" w:type="dxa"/>
            <w:tcBorders/>
            <w:shd w:fill="D5EAEA" w:val="clear"/>
            <w:tcMar>
              <w:bottom w:w="0" w:type="dxa"/>
            </w:tcMar>
            <w:vAlign w:val="center"/>
          </w:tcPr>
          <w:p>
            <w:pPr>
              <w:pStyle w:val="TableContents"/>
              <w:bidi w:val="0"/>
              <w:spacing w:before="0" w:after="283"/>
              <w:jc w:val="left"/>
              <w:rPr>
                <w:sz w:val="20"/>
              </w:rPr>
            </w:pPr>
            <w:r>
              <w:rPr>
                <w:sz w:val="20"/>
              </w:rPr>
              <w:t>Other financial instruments</w:t>
            </w:r>
          </w:p>
        </w:tc>
        <w:tc>
          <w:tcPr>
            <w:tcW w:w="485" w:type="dxa"/>
            <w:tcBorders/>
            <w:shd w:fill="D5EAEA" w:val="clear"/>
            <w:tcMar>
              <w:bottom w:w="0" w:type="dxa"/>
            </w:tcMar>
            <w:vAlign w:val="center"/>
          </w:tcPr>
          <w:p>
            <w:pPr>
              <w:pStyle w:val="TableContents"/>
              <w:bidi w:val="0"/>
              <w:spacing w:before="0" w:after="283"/>
              <w:jc w:val="center"/>
              <w:rPr>
                <w:sz w:val="20"/>
              </w:rPr>
            </w:pPr>
            <w:r>
              <w:rPr>
                <w:sz w:val="20"/>
              </w:rPr>
              <w:t>12(c)</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w:t>
            </w:r>
          </w:p>
        </w:tc>
        <w:tc>
          <w:tcPr>
            <w:tcW w:w="932" w:type="dxa"/>
            <w:tcBorders/>
            <w:shd w:fill="D5EAEA" w:val="clear"/>
            <w:tcMar>
              <w:bottom w:w="0" w:type="dxa"/>
            </w:tcMar>
            <w:vAlign w:val="center"/>
          </w:tcPr>
          <w:p>
            <w:pPr>
              <w:pStyle w:val="TableContents"/>
              <w:bidi w:val="0"/>
              <w:spacing w:before="0" w:after="283"/>
              <w:jc w:val="right"/>
              <w:rPr>
                <w:sz w:val="20"/>
              </w:rPr>
            </w:pPr>
            <w:r>
              <w:rPr>
                <w:sz w:val="20"/>
              </w:rPr>
              <w:t>1,194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 xml:space="preserve">Carried interest allocation </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23(a)</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22,141</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19,330</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51"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D5EAEA" w:val="clear"/>
            <w:tcMar>
              <w:bottom w:w="0" w:type="dxa"/>
            </w:tcMar>
            <w:vAlign w:val="center"/>
          </w:tcPr>
          <w:p>
            <w:pPr>
              <w:pStyle w:val="TableContents"/>
              <w:bidi w:val="0"/>
              <w:spacing w:before="0" w:after="283"/>
              <w:jc w:val="left"/>
              <w:rPr>
                <w:b/>
                <w:sz w:val="20"/>
              </w:rPr>
            </w:pPr>
            <w:r>
              <w:rPr>
                <w:b/>
                <w:sz w:val="20"/>
              </w:rPr>
              <w:t>Current assets</w:t>
            </w:r>
          </w:p>
        </w:tc>
        <w:tc>
          <w:tcPr>
            <w:tcW w:w="485" w:type="dxa"/>
            <w:tcBorders/>
            <w:shd w:fill="D5EAEA" w:val="clear"/>
            <w:tcMar>
              <w:bottom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shd w:fill="D5EAEA" w:val="clear"/>
            <w:tcMar>
              <w:top w:w="28" w:type="dxa"/>
            </w:tcMar>
            <w:vAlign w:val="center"/>
          </w:tcPr>
          <w:p>
            <w:pPr>
              <w:pStyle w:val="TableContents"/>
              <w:bidi w:val="0"/>
              <w:spacing w:before="0" w:after="283"/>
              <w:jc w:val="right"/>
              <w:rPr>
                <w:b/>
                <w:sz w:val="20"/>
              </w:rPr>
            </w:pPr>
            <w:r>
              <w:rPr>
                <w:b/>
                <w:sz w:val="20"/>
              </w:rPr>
              <w:t>573,760</w:t>
            </w:r>
          </w:p>
        </w:tc>
        <w:tc>
          <w:tcPr>
            <w:tcW w:w="932" w:type="dxa"/>
            <w:tcBorders>
              <w:top w:val="single" w:sz="8" w:space="0" w:color="000000"/>
              <w:bottom w:val="single" w:sz="8" w:space="0" w:color="000000"/>
            </w:tcBorders>
            <w:shd w:fill="D5EAEA" w:val="clear"/>
            <w:tcMar>
              <w:top w:w="28" w:type="dxa"/>
            </w:tcMar>
            <w:vAlign w:val="center"/>
          </w:tcPr>
          <w:p>
            <w:pPr>
              <w:pStyle w:val="TableContents"/>
              <w:bidi w:val="0"/>
              <w:spacing w:before="0" w:after="283"/>
              <w:jc w:val="right"/>
              <w:rPr>
                <w:b/>
                <w:sz w:val="20"/>
              </w:rPr>
            </w:pPr>
            <w:r>
              <w:rPr>
                <w:b/>
                <w:sz w:val="20"/>
              </w:rPr>
              <w:t>405,266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b/>
                <w:sz w:val="20"/>
              </w:rPr>
            </w:pPr>
            <w:r>
              <w:rPr>
                <w:b/>
                <w:sz w:val="20"/>
              </w:rPr>
              <w:t>Current liabilities</w:t>
            </w:r>
          </w:p>
        </w:tc>
        <w:tc>
          <w:tcPr>
            <w:tcW w:w="602" w:type="dxa"/>
            <w:tcBorders/>
            <w:shd w:fill="D5EAEA" w:val="clear"/>
            <w:tcMar>
              <w:bottom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shd w:fill="D5EAEA" w:val="clear"/>
            <w:tcMar>
              <w:top w:w="28" w:type="dxa"/>
            </w:tcMar>
            <w:vAlign w:val="center"/>
          </w:tcPr>
          <w:p>
            <w:pPr>
              <w:pStyle w:val="TableContents"/>
              <w:bidi w:val="0"/>
              <w:spacing w:before="0" w:after="283"/>
              <w:jc w:val="right"/>
              <w:rPr>
                <w:b/>
                <w:sz w:val="20"/>
              </w:rPr>
            </w:pPr>
            <w:r>
              <w:rPr>
                <w:b/>
                <w:sz w:val="20"/>
              </w:rPr>
              <w:t>553,761</w:t>
            </w:r>
          </w:p>
        </w:tc>
        <w:tc>
          <w:tcPr>
            <w:tcW w:w="951" w:type="dxa"/>
            <w:tcBorders>
              <w:top w:val="single" w:sz="8" w:space="0" w:color="000000"/>
              <w:bottom w:val="single" w:sz="8" w:space="0" w:color="000000"/>
            </w:tcBorders>
            <w:shd w:fill="D5EAEA" w:val="clear"/>
            <w:tcMar>
              <w:top w:w="28" w:type="dxa"/>
            </w:tcMar>
            <w:vAlign w:val="center"/>
          </w:tcPr>
          <w:p>
            <w:pPr>
              <w:pStyle w:val="TableContents"/>
              <w:bidi w:val="0"/>
              <w:spacing w:before="0" w:after="283"/>
              <w:jc w:val="right"/>
              <w:rPr>
                <w:b/>
                <w:sz w:val="20"/>
              </w:rPr>
            </w:pPr>
            <w:r>
              <w:rPr>
                <w:b/>
                <w:sz w:val="20"/>
              </w:rPr>
              <w:t>415,011</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51"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D5EAEA" w:val="clear"/>
            <w:tcMar>
              <w:bottom w:w="0" w:type="dxa"/>
            </w:tcMar>
            <w:vAlign w:val="center"/>
          </w:tcPr>
          <w:p>
            <w:pPr>
              <w:pStyle w:val="TableContents"/>
              <w:bidi w:val="0"/>
              <w:spacing w:before="0" w:after="283"/>
              <w:jc w:val="left"/>
              <w:rPr>
                <w:sz w:val="20"/>
              </w:rPr>
            </w:pPr>
            <w:r>
              <w:rPr>
                <w:sz w:val="20"/>
              </w:rPr>
              <w:t>Accounts receivable</w:t>
            </w:r>
          </w:p>
        </w:tc>
        <w:tc>
          <w:tcPr>
            <w:tcW w:w="485" w:type="dxa"/>
            <w:tcBorders/>
            <w:shd w:fill="D5EAEA" w:val="clear"/>
            <w:tcMar>
              <w:bottom w:w="0" w:type="dxa"/>
            </w:tcMar>
            <w:vAlign w:val="center"/>
          </w:tcPr>
          <w:p>
            <w:pPr>
              <w:pStyle w:val="TableContents"/>
              <w:bidi w:val="0"/>
              <w:spacing w:before="0" w:after="283"/>
              <w:jc w:val="center"/>
              <w:rPr>
                <w:sz w:val="20"/>
              </w:rPr>
            </w:pPr>
            <w:r>
              <w:rPr>
                <w:sz w:val="20"/>
              </w:rPr>
              <w:t>8</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18,819</w:t>
            </w:r>
          </w:p>
        </w:tc>
        <w:tc>
          <w:tcPr>
            <w:tcW w:w="932" w:type="dxa"/>
            <w:tcBorders/>
            <w:shd w:fill="D5EAEA" w:val="clear"/>
            <w:tcMar>
              <w:bottom w:w="0" w:type="dxa"/>
            </w:tcMar>
            <w:vAlign w:val="center"/>
          </w:tcPr>
          <w:p>
            <w:pPr>
              <w:pStyle w:val="TableContents"/>
              <w:bidi w:val="0"/>
              <w:spacing w:before="0" w:after="283"/>
              <w:jc w:val="right"/>
              <w:rPr>
                <w:sz w:val="20"/>
              </w:rPr>
            </w:pPr>
            <w:r>
              <w:rPr>
                <w:sz w:val="20"/>
              </w:rPr>
              <w:t>95,392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Energy trading contracts</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12(c)</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34,048</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32,456</w:t>
            </w:r>
          </w:p>
        </w:tc>
      </w:tr>
      <w:tr>
        <w:trPr/>
        <w:tc>
          <w:tcPr>
            <w:tcW w:w="2465" w:type="dxa"/>
            <w:tcBorders/>
            <w:shd w:fill="FFFFFF" w:val="clear"/>
            <w:tcMar>
              <w:bottom w:w="0" w:type="dxa"/>
            </w:tcMar>
            <w:vAlign w:val="center"/>
          </w:tcPr>
          <w:p>
            <w:pPr>
              <w:pStyle w:val="TableContents"/>
              <w:bidi w:val="0"/>
              <w:spacing w:before="0" w:after="283"/>
              <w:jc w:val="left"/>
              <w:rPr>
                <w:sz w:val="20"/>
              </w:rPr>
            </w:pPr>
            <w:r>
              <w:rPr>
                <w:sz w:val="20"/>
              </w:rPr>
              <w:t>Other non-current assets</w:t>
            </w:r>
          </w:p>
        </w:tc>
        <w:tc>
          <w:tcPr>
            <w:tcW w:w="485" w:type="dxa"/>
            <w:tcBorders/>
            <w:shd w:fill="FFFFFF" w:val="clear"/>
            <w:tcMar>
              <w:bottom w:w="0" w:type="dxa"/>
            </w:tcMar>
            <w:vAlign w:val="center"/>
          </w:tcPr>
          <w:p>
            <w:pPr>
              <w:pStyle w:val="TableContents"/>
              <w:bidi w:val="0"/>
              <w:spacing w:before="0" w:after="283"/>
              <w:jc w:val="center"/>
              <w:rPr>
                <w:sz w:val="20"/>
              </w:rPr>
            </w:pPr>
            <w:r>
              <w:rPr>
                <w:sz w:val="20"/>
              </w:rPr>
              <w:t>10</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10,796</w:t>
            </w:r>
          </w:p>
        </w:tc>
        <w:tc>
          <w:tcPr>
            <w:tcW w:w="932" w:type="dxa"/>
            <w:tcBorders/>
            <w:shd w:fill="FFFFFF" w:val="clear"/>
            <w:tcMar>
              <w:bottom w:w="0" w:type="dxa"/>
            </w:tcMar>
            <w:vAlign w:val="center"/>
          </w:tcPr>
          <w:p>
            <w:pPr>
              <w:pStyle w:val="TableContents"/>
              <w:bidi w:val="0"/>
              <w:spacing w:before="0" w:after="283"/>
              <w:jc w:val="right"/>
              <w:rPr>
                <w:sz w:val="20"/>
              </w:rPr>
            </w:pPr>
            <w:r>
              <w:rPr>
                <w:sz w:val="20"/>
              </w:rPr>
              <w:t>10,068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sz w:val="20"/>
              </w:rPr>
            </w:pPr>
            <w:r>
              <w:rPr>
                <w:sz w:val="20"/>
              </w:rPr>
              <w:t>Loans</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16</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345,097</w:t>
            </w:r>
          </w:p>
        </w:tc>
        <w:tc>
          <w:tcPr>
            <w:tcW w:w="951" w:type="dxa"/>
            <w:tcBorders/>
            <w:shd w:fill="FFFFFF" w:val="clear"/>
            <w:tcMar>
              <w:bottom w:w="0" w:type="dxa"/>
            </w:tcMar>
            <w:vAlign w:val="center"/>
          </w:tcPr>
          <w:p>
            <w:pPr>
              <w:pStyle w:val="TableContents"/>
              <w:bidi w:val="0"/>
              <w:spacing w:before="0" w:after="283"/>
              <w:jc w:val="right"/>
              <w:rPr>
                <w:sz w:val="20"/>
              </w:rPr>
            </w:pPr>
            <w:r>
              <w:rPr>
                <w:sz w:val="20"/>
              </w:rPr>
              <w:t>174,868</w:t>
            </w:r>
          </w:p>
        </w:tc>
      </w:tr>
      <w:tr>
        <w:trPr/>
        <w:tc>
          <w:tcPr>
            <w:tcW w:w="2465" w:type="dxa"/>
            <w:tcBorders/>
            <w:shd w:fill="D5EAEA" w:val="clear"/>
            <w:tcMar>
              <w:bottom w:w="0" w:type="dxa"/>
            </w:tcMar>
            <w:vAlign w:val="center"/>
          </w:tcPr>
          <w:p>
            <w:pPr>
              <w:pStyle w:val="TableContents"/>
              <w:bidi w:val="0"/>
              <w:spacing w:before="0" w:after="283"/>
              <w:jc w:val="left"/>
              <w:rPr>
                <w:sz w:val="20"/>
              </w:rPr>
            </w:pPr>
            <w:r>
              <w:rPr>
                <w:sz w:val="20"/>
              </w:rPr>
              <w:t>Long-term investments</w:t>
            </w:r>
          </w:p>
        </w:tc>
        <w:tc>
          <w:tcPr>
            <w:tcW w:w="485" w:type="dxa"/>
            <w:tcBorders/>
            <w:shd w:fill="D5EAEA" w:val="clear"/>
            <w:tcMar>
              <w:bottom w:w="0" w:type="dxa"/>
            </w:tcMar>
            <w:vAlign w:val="center"/>
          </w:tcPr>
          <w:p>
            <w:pPr>
              <w:pStyle w:val="TableContents"/>
              <w:bidi w:val="0"/>
              <w:spacing w:before="0" w:after="283"/>
              <w:jc w:val="center"/>
              <w:rPr>
                <w:sz w:val="20"/>
              </w:rPr>
            </w:pPr>
            <w:r>
              <w:rPr>
                <w:sz w:val="20"/>
              </w:rPr>
              <w:t>12(b)</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51,385</w:t>
            </w:r>
          </w:p>
        </w:tc>
        <w:tc>
          <w:tcPr>
            <w:tcW w:w="932" w:type="dxa"/>
            <w:tcBorders/>
            <w:shd w:fill="D5EAEA" w:val="clear"/>
            <w:tcMar>
              <w:bottom w:w="0" w:type="dxa"/>
            </w:tcMar>
            <w:vAlign w:val="center"/>
          </w:tcPr>
          <w:p>
            <w:pPr>
              <w:pStyle w:val="TableContents"/>
              <w:bidi w:val="0"/>
              <w:spacing w:before="0" w:after="283"/>
              <w:jc w:val="right"/>
              <w:rPr>
                <w:sz w:val="20"/>
              </w:rPr>
            </w:pPr>
            <w:r>
              <w:rPr>
                <w:sz w:val="20"/>
              </w:rPr>
              <w:t>44,527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Other non-current liabilities</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18</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18,854</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88,125</w:t>
            </w:r>
          </w:p>
        </w:tc>
      </w:tr>
      <w:tr>
        <w:trPr/>
        <w:tc>
          <w:tcPr>
            <w:tcW w:w="2465" w:type="dxa"/>
            <w:tcBorders/>
            <w:shd w:fill="FFFFFF" w:val="clear"/>
            <w:tcMar>
              <w:bottom w:w="0" w:type="dxa"/>
            </w:tcMar>
            <w:vAlign w:val="center"/>
          </w:tcPr>
          <w:p>
            <w:pPr>
              <w:pStyle w:val="TableContents"/>
              <w:bidi w:val="0"/>
              <w:spacing w:before="0" w:after="283"/>
              <w:jc w:val="left"/>
              <w:rPr>
                <w:sz w:val="20"/>
              </w:rPr>
            </w:pPr>
            <w:r>
              <w:rPr>
                <w:sz w:val="20"/>
              </w:rPr>
              <w:t>Energy trading contracts</w:t>
            </w:r>
          </w:p>
        </w:tc>
        <w:tc>
          <w:tcPr>
            <w:tcW w:w="485" w:type="dxa"/>
            <w:tcBorders/>
            <w:shd w:fill="FFFFFF" w:val="clear"/>
            <w:tcMar>
              <w:bottom w:w="0" w:type="dxa"/>
            </w:tcMar>
            <w:vAlign w:val="center"/>
          </w:tcPr>
          <w:p>
            <w:pPr>
              <w:pStyle w:val="TableContents"/>
              <w:bidi w:val="0"/>
              <w:spacing w:before="0" w:after="283"/>
              <w:jc w:val="center"/>
              <w:rPr>
                <w:sz w:val="20"/>
              </w:rPr>
            </w:pPr>
            <w:r>
              <w:rPr>
                <w:sz w:val="20"/>
              </w:rPr>
              <w:t>12(c)</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38,414</w:t>
            </w:r>
          </w:p>
        </w:tc>
        <w:tc>
          <w:tcPr>
            <w:tcW w:w="932" w:type="dxa"/>
            <w:tcBorders/>
            <w:shd w:fill="FFFFFF" w:val="clear"/>
            <w:tcMar>
              <w:bottom w:w="0" w:type="dxa"/>
            </w:tcMar>
            <w:vAlign w:val="center"/>
          </w:tcPr>
          <w:p>
            <w:pPr>
              <w:pStyle w:val="TableContents"/>
              <w:bidi w:val="0"/>
              <w:spacing w:before="0" w:after="283"/>
              <w:jc w:val="right"/>
              <w:rPr>
                <w:sz w:val="20"/>
              </w:rPr>
            </w:pPr>
            <w:r>
              <w:rPr>
                <w:sz w:val="20"/>
              </w:rPr>
              <w:t>46,217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sz w:val="20"/>
              </w:rPr>
            </w:pPr>
            <w:r>
              <w:rPr>
                <w:sz w:val="20"/>
              </w:rPr>
              <w:t>Deferred tax liabilities</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19</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56,184</w:t>
            </w:r>
          </w:p>
        </w:tc>
        <w:tc>
          <w:tcPr>
            <w:tcW w:w="951" w:type="dxa"/>
            <w:tcBorders/>
            <w:shd w:fill="FFFFFF" w:val="clear"/>
            <w:tcMar>
              <w:bottom w:w="0" w:type="dxa"/>
            </w:tcMar>
            <w:vAlign w:val="center"/>
          </w:tcPr>
          <w:p>
            <w:pPr>
              <w:pStyle w:val="TableContents"/>
              <w:bidi w:val="0"/>
              <w:spacing w:before="0" w:after="283"/>
              <w:jc w:val="right"/>
              <w:rPr>
                <w:sz w:val="20"/>
              </w:rPr>
            </w:pPr>
            <w:r>
              <w:rPr>
                <w:sz w:val="20"/>
              </w:rPr>
              <w:t>52,363</w:t>
            </w:r>
          </w:p>
        </w:tc>
      </w:tr>
      <w:tr>
        <w:trPr/>
        <w:tc>
          <w:tcPr>
            <w:tcW w:w="2465" w:type="dxa"/>
            <w:tcBorders/>
            <w:shd w:fill="D5EAEA" w:val="clear"/>
            <w:tcMar>
              <w:bottom w:w="0" w:type="dxa"/>
            </w:tcMar>
            <w:vAlign w:val="center"/>
          </w:tcPr>
          <w:p>
            <w:pPr>
              <w:pStyle w:val="TableContents"/>
              <w:bidi w:val="0"/>
              <w:spacing w:before="0" w:after="283"/>
              <w:jc w:val="left"/>
              <w:rPr>
                <w:sz w:val="20"/>
              </w:rPr>
            </w:pPr>
            <w:r>
              <w:rPr>
                <w:sz w:val="20"/>
              </w:rPr>
              <w:t>Other financial instruments</w:t>
            </w:r>
          </w:p>
        </w:tc>
        <w:tc>
          <w:tcPr>
            <w:tcW w:w="485" w:type="dxa"/>
            <w:tcBorders/>
            <w:shd w:fill="D5EAEA" w:val="clear"/>
            <w:tcMar>
              <w:bottom w:w="0" w:type="dxa"/>
            </w:tcMar>
            <w:vAlign w:val="center"/>
          </w:tcPr>
          <w:p>
            <w:pPr>
              <w:pStyle w:val="TableContents"/>
              <w:bidi w:val="0"/>
              <w:spacing w:before="0" w:after="283"/>
              <w:jc w:val="center"/>
              <w:rPr>
                <w:sz w:val="20"/>
              </w:rPr>
            </w:pPr>
            <w:r>
              <w:rPr>
                <w:sz w:val="20"/>
              </w:rPr>
              <w:t>12(c)</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6,773</w:t>
            </w:r>
          </w:p>
        </w:tc>
        <w:tc>
          <w:tcPr>
            <w:tcW w:w="932" w:type="dxa"/>
            <w:tcBorders/>
            <w:shd w:fill="D5EAEA" w:val="clear"/>
            <w:tcMar>
              <w:bottom w:w="0" w:type="dxa"/>
            </w:tcMar>
            <w:vAlign w:val="center"/>
          </w:tcPr>
          <w:p>
            <w:pPr>
              <w:pStyle w:val="TableContents"/>
              <w:bidi w:val="0"/>
              <w:spacing w:before="0" w:after="283"/>
              <w:jc w:val="right"/>
              <w:rPr>
                <w:sz w:val="20"/>
              </w:rPr>
            </w:pPr>
            <w:r>
              <w:rPr>
                <w:sz w:val="20"/>
              </w:rPr>
              <w:t>6,372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Gross obligation under put option</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21(c)</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55,334</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24,577</w:t>
            </w:r>
          </w:p>
        </w:tc>
      </w:tr>
      <w:tr>
        <w:trPr/>
        <w:tc>
          <w:tcPr>
            <w:tcW w:w="2465" w:type="dxa"/>
            <w:tcBorders/>
            <w:shd w:fill="FFFFFF" w:val="clear"/>
            <w:tcMar>
              <w:bottom w:w="0" w:type="dxa"/>
            </w:tcMar>
            <w:vAlign w:val="center"/>
          </w:tcPr>
          <w:p>
            <w:pPr>
              <w:pStyle w:val="TableContents"/>
              <w:bidi w:val="0"/>
              <w:spacing w:before="0" w:after="283"/>
              <w:jc w:val="left"/>
              <w:rPr>
                <w:sz w:val="20"/>
              </w:rPr>
            </w:pPr>
            <w:r>
              <w:rPr>
                <w:sz w:val="20"/>
              </w:rPr>
              <w:t>Property and equipment</w:t>
            </w:r>
          </w:p>
        </w:tc>
        <w:tc>
          <w:tcPr>
            <w:tcW w:w="485" w:type="dxa"/>
            <w:tcBorders/>
            <w:shd w:fill="FFFFFF" w:val="clear"/>
            <w:tcMar>
              <w:bottom w:w="0" w:type="dxa"/>
            </w:tcMar>
            <w:vAlign w:val="center"/>
          </w:tcPr>
          <w:p>
            <w:pPr>
              <w:pStyle w:val="TableContents"/>
              <w:bidi w:val="0"/>
              <w:spacing w:before="0" w:after="283"/>
              <w:jc w:val="center"/>
              <w:rPr>
                <w:sz w:val="20"/>
              </w:rPr>
            </w:pPr>
            <w:r>
              <w:rPr>
                <w:sz w:val="20"/>
              </w:rPr>
              <w:t>13</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46,648</w:t>
            </w:r>
          </w:p>
        </w:tc>
        <w:tc>
          <w:tcPr>
            <w:tcW w:w="932" w:type="dxa"/>
            <w:tcBorders/>
            <w:shd w:fill="FFFFFF" w:val="clear"/>
            <w:tcMar>
              <w:bottom w:w="0" w:type="dxa"/>
            </w:tcMar>
            <w:vAlign w:val="center"/>
          </w:tcPr>
          <w:p>
            <w:pPr>
              <w:pStyle w:val="TableContents"/>
              <w:bidi w:val="0"/>
              <w:spacing w:before="0" w:after="283"/>
              <w:jc w:val="right"/>
              <w:rPr>
                <w:sz w:val="20"/>
              </w:rPr>
            </w:pPr>
            <w:r>
              <w:rPr>
                <w:sz w:val="20"/>
              </w:rPr>
              <w:t>42,367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sz w:val="20"/>
              </w:rPr>
            </w:pPr>
            <w:r>
              <w:rPr>
                <w:sz w:val="20"/>
              </w:rPr>
              <w:t>Consideration payable from acquisition</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21(b)</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119,738</w:t>
            </w:r>
          </w:p>
        </w:tc>
        <w:tc>
          <w:tcPr>
            <w:tcW w:w="951" w:type="dxa"/>
            <w:tcBorders/>
            <w:shd w:fill="FFFFFF" w:val="clear"/>
            <w:tcMar>
              <w:bottom w:w="0" w:type="dxa"/>
            </w:tcMar>
            <w:vAlign w:val="center"/>
          </w:tcPr>
          <w:p>
            <w:pPr>
              <w:pStyle w:val="TableContents"/>
              <w:bidi w:val="0"/>
              <w:spacing w:before="0" w:after="283"/>
              <w:jc w:val="right"/>
              <w:rPr>
                <w:sz w:val="20"/>
              </w:rPr>
            </w:pPr>
            <w:r>
              <w:rPr>
                <w:sz w:val="20"/>
              </w:rPr>
              <w:t>65,975</w:t>
            </w:r>
          </w:p>
        </w:tc>
      </w:tr>
      <w:tr>
        <w:trPr/>
        <w:tc>
          <w:tcPr>
            <w:tcW w:w="2465" w:type="dxa"/>
            <w:tcBorders/>
            <w:shd w:fill="D5EAEA" w:val="clear"/>
            <w:tcMar>
              <w:bottom w:w="0" w:type="dxa"/>
            </w:tcMar>
            <w:vAlign w:val="center"/>
          </w:tcPr>
          <w:p>
            <w:pPr>
              <w:pStyle w:val="TableContents"/>
              <w:bidi w:val="0"/>
              <w:spacing w:before="0" w:after="283"/>
              <w:jc w:val="left"/>
              <w:rPr>
                <w:sz w:val="20"/>
              </w:rPr>
            </w:pPr>
            <w:r>
              <w:rPr>
                <w:sz w:val="20"/>
              </w:rPr>
              <w:t>Intangible assets</w:t>
            </w:r>
          </w:p>
        </w:tc>
        <w:tc>
          <w:tcPr>
            <w:tcW w:w="485" w:type="dxa"/>
            <w:tcBorders/>
            <w:shd w:fill="D5EAEA" w:val="clear"/>
            <w:tcMar>
              <w:bottom w:w="0" w:type="dxa"/>
            </w:tcMar>
            <w:vAlign w:val="center"/>
          </w:tcPr>
          <w:p>
            <w:pPr>
              <w:pStyle w:val="TableContents"/>
              <w:bidi w:val="0"/>
              <w:spacing w:before="0" w:after="283"/>
              <w:jc w:val="center"/>
              <w:rPr>
                <w:sz w:val="20"/>
              </w:rPr>
            </w:pPr>
            <w:r>
              <w:rPr>
                <w:sz w:val="20"/>
              </w:rPr>
              <w:t>14</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1,063,283</w:t>
            </w:r>
          </w:p>
        </w:tc>
        <w:tc>
          <w:tcPr>
            <w:tcW w:w="932" w:type="dxa"/>
            <w:tcBorders/>
            <w:shd w:fill="D5EAEA" w:val="clear"/>
            <w:tcMar>
              <w:bottom w:w="0" w:type="dxa"/>
            </w:tcMar>
            <w:vAlign w:val="center"/>
          </w:tcPr>
          <w:p>
            <w:pPr>
              <w:pStyle w:val="TableContents"/>
              <w:bidi w:val="0"/>
              <w:spacing w:before="0" w:after="283"/>
              <w:jc w:val="right"/>
              <w:rPr>
                <w:sz w:val="20"/>
              </w:rPr>
            </w:pPr>
            <w:r>
              <w:rPr>
                <w:sz w:val="20"/>
              </w:rPr>
              <w:t>824,151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Carried interest allocation</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23(a)</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6,849</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8,315</w:t>
            </w:r>
          </w:p>
        </w:tc>
      </w:tr>
      <w:tr>
        <w:trPr/>
        <w:tc>
          <w:tcPr>
            <w:tcW w:w="2465" w:type="dxa"/>
            <w:tcBorders/>
            <w:shd w:fill="FFFFFF" w:val="clear"/>
            <w:tcMar>
              <w:bottom w:w="0" w:type="dxa"/>
            </w:tcMar>
            <w:vAlign w:val="center"/>
          </w:tcPr>
          <w:p>
            <w:pPr>
              <w:pStyle w:val="TableContents"/>
              <w:bidi w:val="0"/>
              <w:spacing w:before="0" w:after="283"/>
              <w:jc w:val="left"/>
              <w:rPr>
                <w:sz w:val="20"/>
              </w:rPr>
            </w:pPr>
            <w:r>
              <w:rPr>
                <w:sz w:val="20"/>
              </w:rPr>
              <w:t>Deferred tax assets</w:t>
            </w:r>
          </w:p>
        </w:tc>
        <w:tc>
          <w:tcPr>
            <w:tcW w:w="485" w:type="dxa"/>
            <w:tcBorders/>
            <w:shd w:fill="FFFFFF" w:val="clear"/>
            <w:tcMar>
              <w:bottom w:w="0" w:type="dxa"/>
            </w:tcMar>
            <w:vAlign w:val="center"/>
          </w:tcPr>
          <w:p>
            <w:pPr>
              <w:pStyle w:val="TableContents"/>
              <w:bidi w:val="0"/>
              <w:spacing w:before="0" w:after="283"/>
              <w:jc w:val="center"/>
              <w:rPr>
                <w:sz w:val="20"/>
              </w:rPr>
            </w:pPr>
            <w:r>
              <w:rPr>
                <w:sz w:val="20"/>
              </w:rPr>
              <w:t>19</w:t>
            </w:r>
          </w:p>
        </w:tc>
        <w:tc>
          <w:tcPr>
            <w:tcW w:w="948" w:type="dxa"/>
            <w:tcBorders>
              <w:bottom w:val="single" w:sz="8" w:space="0" w:color="000000"/>
            </w:tcBorders>
            <w:shd w:fill="FFFFFF" w:val="clear"/>
            <w:vAlign w:val="center"/>
          </w:tcPr>
          <w:p>
            <w:pPr>
              <w:pStyle w:val="TableContents"/>
              <w:bidi w:val="0"/>
              <w:spacing w:before="0" w:after="283"/>
              <w:jc w:val="right"/>
              <w:rPr>
                <w:sz w:val="20"/>
              </w:rPr>
            </w:pPr>
            <w:r>
              <w:rPr>
                <w:sz w:val="20"/>
              </w:rPr>
              <w:t>19,033</w:t>
            </w:r>
          </w:p>
        </w:tc>
        <w:tc>
          <w:tcPr>
            <w:tcW w:w="932" w:type="dxa"/>
            <w:tcBorders>
              <w:bottom w:val="single" w:sz="8" w:space="0" w:color="000000"/>
            </w:tcBorders>
            <w:shd w:fill="FFFFFF" w:val="clear"/>
            <w:vAlign w:val="center"/>
          </w:tcPr>
          <w:p>
            <w:pPr>
              <w:pStyle w:val="TableContents"/>
              <w:bidi w:val="0"/>
              <w:spacing w:before="0" w:after="283"/>
              <w:jc w:val="right"/>
              <w:rPr>
                <w:sz w:val="20"/>
              </w:rPr>
            </w:pPr>
            <w:r>
              <w:rPr>
                <w:sz w:val="20"/>
              </w:rPr>
              <w:t>20,749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51"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D5EAEA" w:val="clear"/>
            <w:tcMar>
              <w:bottom w:w="0" w:type="dxa"/>
            </w:tcMar>
            <w:vAlign w:val="center"/>
          </w:tcPr>
          <w:p>
            <w:pPr>
              <w:pStyle w:val="TableContents"/>
              <w:bidi w:val="0"/>
              <w:spacing w:before="0" w:after="283"/>
              <w:jc w:val="left"/>
              <w:rPr>
                <w:b/>
                <w:sz w:val="20"/>
              </w:rPr>
            </w:pPr>
            <w:r>
              <w:rPr>
                <w:b/>
                <w:sz w:val="20"/>
              </w:rPr>
              <w:t>Non-current assets</w:t>
            </w:r>
          </w:p>
        </w:tc>
        <w:tc>
          <w:tcPr>
            <w:tcW w:w="485" w:type="dxa"/>
            <w:tcBorders/>
            <w:shd w:fill="D5EAEA" w:val="clear"/>
            <w:tcMar>
              <w:bottom w:w="0" w:type="dxa"/>
            </w:tcMar>
            <w:vAlign w:val="center"/>
          </w:tcPr>
          <w:p>
            <w:pPr>
              <w:pStyle w:val="TableContents"/>
              <w:bidi w:val="0"/>
              <w:spacing w:before="0" w:after="283"/>
              <w:jc w:val="left"/>
              <w:rPr/>
            </w:pPr>
            <w:r>
              <w:rPr/>
              <w:t> </w:t>
            </w:r>
          </w:p>
        </w:tc>
        <w:tc>
          <w:tcPr>
            <w:tcW w:w="948" w:type="dxa"/>
            <w:tcBorders>
              <w:bottom w:val="single" w:sz="8" w:space="0" w:color="000000"/>
            </w:tcBorders>
            <w:shd w:fill="D5EAEA" w:val="clear"/>
            <w:vAlign w:val="center"/>
          </w:tcPr>
          <w:p>
            <w:pPr>
              <w:pStyle w:val="TableContents"/>
              <w:bidi w:val="0"/>
              <w:spacing w:before="0" w:after="283"/>
              <w:jc w:val="right"/>
              <w:rPr>
                <w:b/>
                <w:sz w:val="20"/>
              </w:rPr>
            </w:pPr>
            <w:r>
              <w:rPr>
                <w:b/>
                <w:sz w:val="20"/>
              </w:rPr>
              <w:t>1,255,151</w:t>
            </w:r>
          </w:p>
        </w:tc>
        <w:tc>
          <w:tcPr>
            <w:tcW w:w="932" w:type="dxa"/>
            <w:tcBorders>
              <w:bottom w:val="single" w:sz="8" w:space="0" w:color="000000"/>
            </w:tcBorders>
            <w:shd w:fill="D5EAEA" w:val="clear"/>
            <w:vAlign w:val="center"/>
          </w:tcPr>
          <w:p>
            <w:pPr>
              <w:pStyle w:val="TableContents"/>
              <w:bidi w:val="0"/>
              <w:spacing w:before="0" w:after="283"/>
              <w:jc w:val="right"/>
              <w:rPr>
                <w:b/>
                <w:sz w:val="20"/>
              </w:rPr>
            </w:pPr>
            <w:r>
              <w:rPr>
                <w:b/>
                <w:sz w:val="20"/>
              </w:rPr>
              <w:t>1,089,843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b/>
                <w:sz w:val="20"/>
              </w:rPr>
            </w:pPr>
            <w:r>
              <w:rPr>
                <w:b/>
                <w:sz w:val="20"/>
              </w:rPr>
              <w:t>Non-current liabilities</w:t>
            </w:r>
          </w:p>
        </w:tc>
        <w:tc>
          <w:tcPr>
            <w:tcW w:w="602" w:type="dxa"/>
            <w:tcBorders/>
            <w:shd w:fill="D5EAEA" w:val="clear"/>
            <w:tcMar>
              <w:bottom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shd w:fill="D5EAEA" w:val="clear"/>
            <w:tcMar>
              <w:top w:w="28" w:type="dxa"/>
            </w:tcMar>
            <w:vAlign w:val="center"/>
          </w:tcPr>
          <w:p>
            <w:pPr>
              <w:pStyle w:val="TableContents"/>
              <w:bidi w:val="0"/>
              <w:spacing w:before="0" w:after="283"/>
              <w:jc w:val="right"/>
              <w:rPr>
                <w:b/>
                <w:sz w:val="20"/>
              </w:rPr>
            </w:pPr>
            <w:r>
              <w:rPr>
                <w:b/>
                <w:sz w:val="20"/>
              </w:rPr>
              <w:t>636,104</w:t>
            </w:r>
          </w:p>
        </w:tc>
        <w:tc>
          <w:tcPr>
            <w:tcW w:w="951" w:type="dxa"/>
            <w:tcBorders>
              <w:top w:val="single" w:sz="8" w:space="0" w:color="000000"/>
              <w:bottom w:val="single" w:sz="8" w:space="0" w:color="000000"/>
            </w:tcBorders>
            <w:shd w:fill="D5EAEA" w:val="clear"/>
            <w:tcMar>
              <w:top w:w="28" w:type="dxa"/>
            </w:tcMar>
            <w:vAlign w:val="center"/>
          </w:tcPr>
          <w:p>
            <w:pPr>
              <w:pStyle w:val="TableContents"/>
              <w:bidi w:val="0"/>
              <w:spacing w:before="0" w:after="283"/>
              <w:jc w:val="right"/>
              <w:rPr>
                <w:b/>
                <w:sz w:val="20"/>
              </w:rPr>
            </w:pPr>
            <w:r>
              <w:rPr>
                <w:b/>
                <w:sz w:val="20"/>
              </w:rPr>
              <w:t>446,679</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51"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D5EAEA" w:val="clear"/>
            <w:tcMar>
              <w:bottom w:w="0" w:type="dxa"/>
            </w:tcMar>
            <w:vAlign w:val="center"/>
          </w:tcPr>
          <w:p>
            <w:pPr>
              <w:pStyle w:val="TableContents"/>
              <w:bidi w:val="0"/>
              <w:spacing w:before="0" w:after="283"/>
              <w:jc w:val="left"/>
              <w:rPr/>
            </w:pPr>
            <w:r>
              <w:rPr/>
              <w:t> </w:t>
            </w:r>
          </w:p>
        </w:tc>
        <w:tc>
          <w:tcPr>
            <w:tcW w:w="485" w:type="dxa"/>
            <w:tcBorders/>
            <w:shd w:fill="D5EAEA" w:val="clear"/>
            <w:tcMar>
              <w:bottom w:w="0" w:type="dxa"/>
            </w:tcMar>
            <w:vAlign w:val="center"/>
          </w:tcPr>
          <w:p>
            <w:pPr>
              <w:pStyle w:val="TableContents"/>
              <w:bidi w:val="0"/>
              <w:spacing w:before="0" w:after="283"/>
              <w:jc w:val="left"/>
              <w:rPr/>
            </w:pPr>
            <w:r>
              <w:rPr/>
              <w:t> </w:t>
            </w:r>
          </w:p>
        </w:tc>
        <w:tc>
          <w:tcPr>
            <w:tcW w:w="948" w:type="dxa"/>
            <w:tcBorders/>
            <w:shd w:fill="D5EAEA" w:val="clear"/>
            <w:tcMar>
              <w:bottom w:w="0" w:type="dxa"/>
            </w:tcMar>
            <w:vAlign w:val="center"/>
          </w:tcPr>
          <w:p>
            <w:pPr>
              <w:pStyle w:val="TableContents"/>
              <w:bidi w:val="0"/>
              <w:spacing w:before="0" w:after="283"/>
              <w:jc w:val="right"/>
              <w:rPr/>
            </w:pPr>
            <w:r>
              <w:rPr/>
              <w:t> </w:t>
            </w:r>
          </w:p>
        </w:tc>
        <w:tc>
          <w:tcPr>
            <w:tcW w:w="932" w:type="dxa"/>
            <w:tcBorders/>
            <w:shd w:fill="D5EAEA"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b/>
                <w:sz w:val="20"/>
              </w:rPr>
            </w:pPr>
            <w:r>
              <w:rPr>
                <w:b/>
                <w:sz w:val="20"/>
              </w:rPr>
              <w:t>Total liabilities</w:t>
            </w:r>
          </w:p>
        </w:tc>
        <w:tc>
          <w:tcPr>
            <w:tcW w:w="602" w:type="dxa"/>
            <w:tcBorders/>
            <w:shd w:fill="D5EAEA" w:val="clear"/>
            <w:tcMar>
              <w:bottom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shd w:fill="D5EAEA" w:val="clear"/>
            <w:tcMar>
              <w:top w:w="28" w:type="dxa"/>
            </w:tcMar>
            <w:vAlign w:val="center"/>
          </w:tcPr>
          <w:p>
            <w:pPr>
              <w:pStyle w:val="TableContents"/>
              <w:bidi w:val="0"/>
              <w:spacing w:before="0" w:after="283"/>
              <w:jc w:val="right"/>
              <w:rPr>
                <w:b/>
                <w:sz w:val="20"/>
              </w:rPr>
            </w:pPr>
            <w:r>
              <w:rPr>
                <w:b/>
                <w:sz w:val="20"/>
              </w:rPr>
              <w:t>1,189,865</w:t>
            </w:r>
          </w:p>
        </w:tc>
        <w:tc>
          <w:tcPr>
            <w:tcW w:w="951" w:type="dxa"/>
            <w:tcBorders>
              <w:top w:val="single" w:sz="8" w:space="0" w:color="000000"/>
              <w:bottom w:val="single" w:sz="8" w:space="0" w:color="000000"/>
            </w:tcBorders>
            <w:shd w:fill="D5EAEA" w:val="clear"/>
            <w:tcMar>
              <w:top w:w="28" w:type="dxa"/>
            </w:tcMar>
            <w:vAlign w:val="center"/>
          </w:tcPr>
          <w:p>
            <w:pPr>
              <w:pStyle w:val="TableContents"/>
              <w:bidi w:val="0"/>
              <w:spacing w:before="0" w:after="283"/>
              <w:jc w:val="right"/>
              <w:rPr>
                <w:b/>
                <w:sz w:val="20"/>
              </w:rPr>
            </w:pPr>
            <w:r>
              <w:rPr>
                <w:b/>
                <w:sz w:val="20"/>
              </w:rPr>
              <w:t>861,690</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51"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D5EAEA" w:val="clear"/>
            <w:tcMar>
              <w:bottom w:w="0" w:type="dxa"/>
            </w:tcMar>
            <w:vAlign w:val="center"/>
          </w:tcPr>
          <w:p>
            <w:pPr>
              <w:pStyle w:val="TableContents"/>
              <w:bidi w:val="0"/>
              <w:spacing w:before="0" w:after="283"/>
              <w:jc w:val="left"/>
              <w:rPr/>
            </w:pPr>
            <w:r>
              <w:rPr/>
              <w:t> </w:t>
            </w:r>
          </w:p>
        </w:tc>
        <w:tc>
          <w:tcPr>
            <w:tcW w:w="485" w:type="dxa"/>
            <w:tcBorders/>
            <w:shd w:fill="D5EAEA" w:val="clear"/>
            <w:tcMar>
              <w:bottom w:w="0" w:type="dxa"/>
            </w:tcMar>
            <w:vAlign w:val="center"/>
          </w:tcPr>
          <w:p>
            <w:pPr>
              <w:pStyle w:val="TableContents"/>
              <w:bidi w:val="0"/>
              <w:spacing w:before="0" w:after="283"/>
              <w:jc w:val="left"/>
              <w:rPr/>
            </w:pPr>
            <w:r>
              <w:rPr/>
              <w:t> </w:t>
            </w:r>
          </w:p>
        </w:tc>
        <w:tc>
          <w:tcPr>
            <w:tcW w:w="948" w:type="dxa"/>
            <w:tcBorders/>
            <w:shd w:fill="D5EAEA" w:val="clear"/>
            <w:tcMar>
              <w:bottom w:w="0" w:type="dxa"/>
            </w:tcMar>
            <w:vAlign w:val="center"/>
          </w:tcPr>
          <w:p>
            <w:pPr>
              <w:pStyle w:val="TableContents"/>
              <w:bidi w:val="0"/>
              <w:spacing w:before="0" w:after="283"/>
              <w:jc w:val="right"/>
              <w:rPr/>
            </w:pPr>
            <w:r>
              <w:rPr/>
              <w:t> </w:t>
            </w:r>
          </w:p>
        </w:tc>
        <w:tc>
          <w:tcPr>
            <w:tcW w:w="932" w:type="dxa"/>
            <w:tcBorders/>
            <w:shd w:fill="D5EAEA"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Capital</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29(a)</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16</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16</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3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sz w:val="20"/>
              </w:rPr>
            </w:pPr>
            <w:r>
              <w:rPr>
                <w:sz w:val="20"/>
              </w:rPr>
              <w:t>Additional paid-in capital</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29(b)</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608,264</w:t>
            </w:r>
          </w:p>
        </w:tc>
        <w:tc>
          <w:tcPr>
            <w:tcW w:w="951" w:type="dxa"/>
            <w:tcBorders/>
            <w:shd w:fill="FFFFFF" w:val="clear"/>
            <w:tcMar>
              <w:bottom w:w="0" w:type="dxa"/>
            </w:tcMar>
            <w:vAlign w:val="center"/>
          </w:tcPr>
          <w:p>
            <w:pPr>
              <w:pStyle w:val="TableContents"/>
              <w:bidi w:val="0"/>
              <w:spacing w:before="0" w:after="283"/>
              <w:jc w:val="right"/>
              <w:rPr>
                <w:sz w:val="20"/>
              </w:rPr>
            </w:pPr>
            <w:r>
              <w:rPr>
                <w:sz w:val="20"/>
              </w:rPr>
              <w:t>589,404</w:t>
            </w:r>
          </w:p>
        </w:tc>
      </w:tr>
      <w:tr>
        <w:trPr/>
        <w:tc>
          <w:tcPr>
            <w:tcW w:w="2465" w:type="dxa"/>
            <w:tcBorders/>
            <w:shd w:fill="D5EAEA" w:val="clear"/>
            <w:tcMar>
              <w:bottom w:w="0" w:type="dxa"/>
            </w:tcMar>
            <w:vAlign w:val="center"/>
          </w:tcPr>
          <w:p>
            <w:pPr>
              <w:pStyle w:val="TableContents"/>
              <w:bidi w:val="0"/>
              <w:spacing w:before="0" w:after="283"/>
              <w:jc w:val="left"/>
              <w:rPr/>
            </w:pPr>
            <w:r>
              <w:rPr/>
              <w:t> </w:t>
            </w:r>
          </w:p>
        </w:tc>
        <w:tc>
          <w:tcPr>
            <w:tcW w:w="485" w:type="dxa"/>
            <w:tcBorders/>
            <w:shd w:fill="D5EAEA" w:val="clear"/>
            <w:tcMar>
              <w:bottom w:w="0" w:type="dxa"/>
            </w:tcMar>
            <w:vAlign w:val="center"/>
          </w:tcPr>
          <w:p>
            <w:pPr>
              <w:pStyle w:val="TableContents"/>
              <w:bidi w:val="0"/>
              <w:spacing w:before="0" w:after="283"/>
              <w:jc w:val="left"/>
              <w:rPr/>
            </w:pPr>
            <w:r>
              <w:rPr/>
              <w:t> </w:t>
            </w:r>
          </w:p>
        </w:tc>
        <w:tc>
          <w:tcPr>
            <w:tcW w:w="948" w:type="dxa"/>
            <w:tcBorders/>
            <w:shd w:fill="D5EAEA" w:val="clear"/>
            <w:tcMar>
              <w:bottom w:w="0" w:type="dxa"/>
            </w:tcMar>
            <w:vAlign w:val="center"/>
          </w:tcPr>
          <w:p>
            <w:pPr>
              <w:pStyle w:val="TableContents"/>
              <w:bidi w:val="0"/>
              <w:spacing w:before="0" w:after="283"/>
              <w:jc w:val="left"/>
              <w:rPr/>
            </w:pPr>
            <w:r>
              <w:rPr/>
              <w:t> </w:t>
            </w:r>
          </w:p>
        </w:tc>
        <w:tc>
          <w:tcPr>
            <w:tcW w:w="932" w:type="dxa"/>
            <w:tcBorders/>
            <w:shd w:fill="D5EAEA"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Capital reserves</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29(d)</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45,462</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46,646</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3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2814" w:type="dxa"/>
            <w:tcBorders/>
            <w:shd w:fill="FFFFFF" w:val="clear"/>
            <w:tcMar>
              <w:bottom w:w="0" w:type="dxa"/>
            </w:tcMar>
            <w:vAlign w:val="center"/>
          </w:tcPr>
          <w:p>
            <w:pPr>
              <w:pStyle w:val="TableContents"/>
              <w:bidi w:val="0"/>
              <w:spacing w:before="0" w:after="283"/>
              <w:jc w:val="left"/>
              <w:rPr>
                <w:sz w:val="20"/>
              </w:rPr>
            </w:pPr>
            <w:r>
              <w:rPr>
                <w:sz w:val="20"/>
              </w:rPr>
              <w:t>Other reserves</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29(f) /4</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(49,035)</w:t>
            </w:r>
          </w:p>
        </w:tc>
        <w:tc>
          <w:tcPr>
            <w:tcW w:w="951" w:type="dxa"/>
            <w:tcBorders/>
            <w:shd w:fill="FFFFFF" w:val="clear"/>
            <w:tcMar>
              <w:bottom w:w="0" w:type="dxa"/>
            </w:tcMar>
            <w:vAlign w:val="center"/>
          </w:tcPr>
          <w:p>
            <w:pPr>
              <w:pStyle w:val="TableContents"/>
              <w:bidi w:val="0"/>
              <w:spacing w:before="0" w:after="283"/>
              <w:jc w:val="right"/>
              <w:rPr>
                <w:sz w:val="20"/>
              </w:rPr>
            </w:pPr>
            <w:r>
              <w:rPr>
                <w:sz w:val="20"/>
              </w:rPr>
              <w:t>-</w:t>
            </w:r>
          </w:p>
        </w:tc>
      </w:tr>
      <w:tr>
        <w:trPr/>
        <w:tc>
          <w:tcPr>
            <w:tcW w:w="2465" w:type="dxa"/>
            <w:tcBorders/>
            <w:shd w:fill="D5EAEA" w:val="clear"/>
            <w:tcMar>
              <w:bottom w:w="0" w:type="dxa"/>
            </w:tcMar>
            <w:vAlign w:val="center"/>
          </w:tcPr>
          <w:p>
            <w:pPr>
              <w:pStyle w:val="TableContents"/>
              <w:bidi w:val="0"/>
              <w:spacing w:before="0" w:after="283"/>
              <w:jc w:val="left"/>
              <w:rPr/>
            </w:pPr>
            <w:r>
              <w:rPr/>
              <w:t> </w:t>
            </w:r>
          </w:p>
        </w:tc>
        <w:tc>
          <w:tcPr>
            <w:tcW w:w="485" w:type="dxa"/>
            <w:tcBorders/>
            <w:shd w:fill="D5EAEA" w:val="clear"/>
            <w:tcMar>
              <w:bottom w:w="0" w:type="dxa"/>
            </w:tcMar>
            <w:vAlign w:val="center"/>
          </w:tcPr>
          <w:p>
            <w:pPr>
              <w:pStyle w:val="TableContents"/>
              <w:bidi w:val="0"/>
              <w:spacing w:before="0" w:after="283"/>
              <w:jc w:val="left"/>
              <w:rPr/>
            </w:pPr>
            <w:r>
              <w:rPr/>
              <w:t> </w:t>
            </w:r>
          </w:p>
        </w:tc>
        <w:tc>
          <w:tcPr>
            <w:tcW w:w="948" w:type="dxa"/>
            <w:tcBorders/>
            <w:shd w:fill="D5EAEA" w:val="clear"/>
            <w:tcMar>
              <w:bottom w:w="0" w:type="dxa"/>
            </w:tcMar>
            <w:vAlign w:val="center"/>
          </w:tcPr>
          <w:p>
            <w:pPr>
              <w:pStyle w:val="TableContents"/>
              <w:bidi w:val="0"/>
              <w:spacing w:before="0" w:after="283"/>
              <w:jc w:val="left"/>
              <w:rPr/>
            </w:pPr>
            <w:r>
              <w:rPr/>
              <w:t> </w:t>
            </w:r>
          </w:p>
        </w:tc>
        <w:tc>
          <w:tcPr>
            <w:tcW w:w="932" w:type="dxa"/>
            <w:tcBorders/>
            <w:shd w:fill="D5EAEA"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sz w:val="20"/>
              </w:rPr>
            </w:pPr>
            <w:r>
              <w:rPr>
                <w:sz w:val="20"/>
              </w:rPr>
              <w:t>Treasury shares</w:t>
            </w:r>
          </w:p>
        </w:tc>
        <w:tc>
          <w:tcPr>
            <w:tcW w:w="602" w:type="dxa"/>
            <w:tcBorders/>
            <w:shd w:fill="D5EAEA" w:val="clear"/>
            <w:tcMar>
              <w:bottom w:w="0" w:type="dxa"/>
            </w:tcMar>
            <w:vAlign w:val="center"/>
          </w:tcPr>
          <w:p>
            <w:pPr>
              <w:pStyle w:val="TableContents"/>
              <w:bidi w:val="0"/>
              <w:spacing w:before="0" w:after="283"/>
              <w:jc w:val="center"/>
              <w:rPr>
                <w:sz w:val="20"/>
              </w:rPr>
            </w:pPr>
            <w:r>
              <w:rPr>
                <w:sz w:val="20"/>
              </w:rPr>
              <w:t>29(g)</w:t>
            </w:r>
          </w:p>
        </w:tc>
        <w:tc>
          <w:tcPr>
            <w:tcW w:w="948" w:type="dxa"/>
            <w:tcBorders/>
            <w:shd w:fill="D5EAEA" w:val="clear"/>
            <w:tcMar>
              <w:bottom w:w="0" w:type="dxa"/>
            </w:tcMar>
            <w:vAlign w:val="center"/>
          </w:tcPr>
          <w:p>
            <w:pPr>
              <w:pStyle w:val="TableContents"/>
              <w:bidi w:val="0"/>
              <w:spacing w:before="0" w:after="283"/>
              <w:jc w:val="right"/>
              <w:rPr>
                <w:sz w:val="20"/>
              </w:rPr>
            </w:pPr>
            <w:r>
              <w:rPr>
                <w:sz w:val="20"/>
              </w:rPr>
              <w:t>(12,683)</w:t>
            </w:r>
          </w:p>
        </w:tc>
        <w:tc>
          <w:tcPr>
            <w:tcW w:w="951" w:type="dxa"/>
            <w:tcBorders/>
            <w:shd w:fill="D5EAEA" w:val="clear"/>
            <w:tcMar>
              <w:bottom w:w="0" w:type="dxa"/>
            </w:tcMar>
            <w:vAlign w:val="center"/>
          </w:tcPr>
          <w:p>
            <w:pPr>
              <w:pStyle w:val="TableContents"/>
              <w:bidi w:val="0"/>
              <w:spacing w:before="0" w:after="283"/>
              <w:jc w:val="right"/>
              <w:rPr>
                <w:sz w:val="20"/>
              </w:rPr>
            </w:pPr>
            <w:r>
              <w:rPr>
                <w:sz w:val="20"/>
              </w:rPr>
              <w:t>-</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left"/>
              <w:rPr/>
            </w:pPr>
            <w:r>
              <w:rPr/>
              <w:t> </w:t>
            </w:r>
          </w:p>
        </w:tc>
        <w:tc>
          <w:tcPr>
            <w:tcW w:w="9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sz w:val="20"/>
              </w:rPr>
            </w:pPr>
            <w:r>
              <w:rPr>
                <w:sz w:val="20"/>
              </w:rPr>
              <w:t>Cumulative translation adjustment</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29(h)</w:t>
            </w:r>
          </w:p>
        </w:tc>
        <w:tc>
          <w:tcPr>
            <w:tcW w:w="948" w:type="dxa"/>
            <w:tcBorders/>
            <w:shd w:fill="FFFFFF" w:val="clear"/>
            <w:tcMar>
              <w:bottom w:w="0" w:type="dxa"/>
            </w:tcMar>
            <w:vAlign w:val="center"/>
          </w:tcPr>
          <w:p>
            <w:pPr>
              <w:pStyle w:val="TableContents"/>
              <w:bidi w:val="0"/>
              <w:spacing w:before="0" w:after="283"/>
              <w:jc w:val="right"/>
              <w:rPr>
                <w:sz w:val="20"/>
              </w:rPr>
            </w:pPr>
            <w:r>
              <w:rPr>
                <w:sz w:val="20"/>
              </w:rPr>
              <w:t>(28,435)</w:t>
            </w:r>
          </w:p>
        </w:tc>
        <w:tc>
          <w:tcPr>
            <w:tcW w:w="951" w:type="dxa"/>
            <w:tcBorders/>
            <w:shd w:fill="FFFFFF" w:val="clear"/>
            <w:tcMar>
              <w:bottom w:w="0" w:type="dxa"/>
            </w:tcMar>
            <w:vAlign w:val="center"/>
          </w:tcPr>
          <w:p>
            <w:pPr>
              <w:pStyle w:val="TableContents"/>
              <w:bidi w:val="0"/>
              <w:spacing w:before="0" w:after="283"/>
              <w:jc w:val="right"/>
              <w:rPr>
                <w:sz w:val="20"/>
              </w:rPr>
            </w:pPr>
            <w:r>
              <w:rPr>
                <w:sz w:val="20"/>
              </w:rPr>
              <w:t>(24,316)</w:t>
            </w:r>
          </w:p>
        </w:tc>
      </w:tr>
      <w:tr>
        <w:trPr/>
        <w:tc>
          <w:tcPr>
            <w:tcW w:w="2465" w:type="dxa"/>
            <w:tcBorders/>
            <w:shd w:fill="D5EAEA" w:val="clear"/>
            <w:tcMar>
              <w:bottom w:w="0" w:type="dxa"/>
            </w:tcMar>
            <w:vAlign w:val="center"/>
          </w:tcPr>
          <w:p>
            <w:pPr>
              <w:pStyle w:val="TableContents"/>
              <w:bidi w:val="0"/>
              <w:spacing w:before="0" w:after="283"/>
              <w:jc w:val="left"/>
              <w:rPr/>
            </w:pPr>
            <w:r>
              <w:rPr/>
              <w:t> </w:t>
            </w:r>
          </w:p>
        </w:tc>
        <w:tc>
          <w:tcPr>
            <w:tcW w:w="485" w:type="dxa"/>
            <w:tcBorders/>
            <w:shd w:fill="D5EAEA" w:val="clear"/>
            <w:tcMar>
              <w:bottom w:w="0" w:type="dxa"/>
            </w:tcMar>
            <w:vAlign w:val="center"/>
          </w:tcPr>
          <w:p>
            <w:pPr>
              <w:pStyle w:val="TableContents"/>
              <w:bidi w:val="0"/>
              <w:spacing w:before="0" w:after="283"/>
              <w:jc w:val="left"/>
              <w:rPr/>
            </w:pPr>
            <w:r>
              <w:rPr/>
              <w:t> </w:t>
            </w:r>
          </w:p>
        </w:tc>
        <w:tc>
          <w:tcPr>
            <w:tcW w:w="948" w:type="dxa"/>
            <w:tcBorders/>
            <w:shd w:fill="D5EAEA" w:val="clear"/>
            <w:tcMar>
              <w:bottom w:w="0" w:type="dxa"/>
            </w:tcMar>
            <w:vAlign w:val="center"/>
          </w:tcPr>
          <w:p>
            <w:pPr>
              <w:pStyle w:val="TableContents"/>
              <w:bidi w:val="0"/>
              <w:spacing w:before="0" w:after="283"/>
              <w:jc w:val="left"/>
              <w:rPr/>
            </w:pPr>
            <w:r>
              <w:rPr/>
              <w:t> </w:t>
            </w:r>
          </w:p>
        </w:tc>
        <w:tc>
          <w:tcPr>
            <w:tcW w:w="932" w:type="dxa"/>
            <w:tcBorders/>
            <w:shd w:fill="D5EAEA"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16" w:type="dxa"/>
            <w:gridSpan w:val="2"/>
            <w:tcBorders/>
            <w:shd w:fill="D5EAEA" w:val="clear"/>
            <w:tcMar>
              <w:bottom w:w="0" w:type="dxa"/>
            </w:tcMar>
            <w:vAlign w:val="center"/>
          </w:tcPr>
          <w:p>
            <w:pPr>
              <w:pStyle w:val="TableContents"/>
              <w:bidi w:val="0"/>
              <w:spacing w:before="0" w:after="283"/>
              <w:jc w:val="left"/>
              <w:rPr>
                <w:b/>
                <w:sz w:val="20"/>
              </w:rPr>
            </w:pPr>
            <w:r>
              <w:rPr>
                <w:b/>
                <w:sz w:val="20"/>
              </w:rPr>
              <w:t>Equity attributable to the owners of the Company</w:t>
            </w:r>
          </w:p>
        </w:tc>
        <w:tc>
          <w:tcPr>
            <w:tcW w:w="948" w:type="dxa"/>
            <w:tcBorders>
              <w:top w:val="single" w:sz="8" w:space="0" w:color="000000"/>
              <w:bottom w:val="single" w:sz="8" w:space="0" w:color="000000"/>
            </w:tcBorders>
            <w:shd w:fill="D5EAEA" w:val="clear"/>
            <w:tcMar>
              <w:top w:w="28" w:type="dxa"/>
            </w:tcMar>
            <w:vAlign w:val="center"/>
          </w:tcPr>
          <w:p>
            <w:pPr>
              <w:pStyle w:val="TableContents"/>
              <w:bidi w:val="0"/>
              <w:spacing w:before="0" w:after="283"/>
              <w:jc w:val="right"/>
              <w:rPr>
                <w:b/>
                <w:sz w:val="20"/>
              </w:rPr>
            </w:pPr>
            <w:r>
              <w:rPr>
                <w:b/>
                <w:sz w:val="20"/>
              </w:rPr>
              <w:t>563,589</w:t>
            </w:r>
          </w:p>
        </w:tc>
        <w:tc>
          <w:tcPr>
            <w:tcW w:w="951" w:type="dxa"/>
            <w:tcBorders>
              <w:top w:val="single" w:sz="8" w:space="0" w:color="000000"/>
              <w:bottom w:val="single" w:sz="8" w:space="0" w:color="000000"/>
            </w:tcBorders>
            <w:shd w:fill="D5EAEA" w:val="clear"/>
            <w:tcMar>
              <w:top w:w="28" w:type="dxa"/>
            </w:tcMar>
            <w:vAlign w:val="center"/>
          </w:tcPr>
          <w:p>
            <w:pPr>
              <w:pStyle w:val="TableContents"/>
              <w:bidi w:val="0"/>
              <w:spacing w:before="0" w:after="283"/>
              <w:jc w:val="right"/>
              <w:rPr>
                <w:b/>
                <w:sz w:val="20"/>
              </w:rPr>
            </w:pPr>
            <w:r>
              <w:rPr>
                <w:b/>
                <w:sz w:val="20"/>
              </w:rPr>
              <w:t>611,750</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left"/>
              <w:rPr/>
            </w:pPr>
            <w:r>
              <w:rPr/>
              <w:t> </w:t>
            </w:r>
          </w:p>
        </w:tc>
        <w:tc>
          <w:tcPr>
            <w:tcW w:w="9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b/>
                <w:sz w:val="20"/>
              </w:rPr>
            </w:pPr>
            <w:r>
              <w:rPr>
                <w:b/>
                <w:sz w:val="20"/>
              </w:rPr>
              <w:t>Non-controlling interests</w:t>
            </w:r>
          </w:p>
        </w:tc>
        <w:tc>
          <w:tcPr>
            <w:tcW w:w="602" w:type="dxa"/>
            <w:tcBorders/>
            <w:shd w:fill="FFFFFF" w:val="clear"/>
            <w:tcMar>
              <w:bottom w:w="0" w:type="dxa"/>
            </w:tcMar>
            <w:vAlign w:val="center"/>
          </w:tcPr>
          <w:p>
            <w:pPr>
              <w:pStyle w:val="TableContents"/>
              <w:bidi w:val="0"/>
              <w:spacing w:before="0" w:after="283"/>
              <w:jc w:val="center"/>
              <w:rPr>
                <w:sz w:val="20"/>
              </w:rPr>
            </w:pPr>
            <w:r>
              <w:rPr>
                <w:sz w:val="20"/>
              </w:rPr>
              <w:t>29(i) / 4</w:t>
            </w:r>
          </w:p>
        </w:tc>
        <w:tc>
          <w:tcPr>
            <w:tcW w:w="948" w:type="dxa"/>
            <w:tcBorders/>
            <w:shd w:fill="FFFFFF" w:val="clear"/>
            <w:tcMar>
              <w:bottom w:w="0" w:type="dxa"/>
            </w:tcMar>
            <w:vAlign w:val="center"/>
          </w:tcPr>
          <w:p>
            <w:pPr>
              <w:pStyle w:val="TableContents"/>
              <w:bidi w:val="0"/>
              <w:spacing w:before="0" w:after="283"/>
              <w:jc w:val="right"/>
              <w:rPr>
                <w:b/>
                <w:sz w:val="20"/>
              </w:rPr>
            </w:pPr>
            <w:r>
              <w:rPr>
                <w:b/>
                <w:sz w:val="20"/>
              </w:rPr>
              <w:t>75,457</w:t>
            </w:r>
          </w:p>
        </w:tc>
        <w:tc>
          <w:tcPr>
            <w:tcW w:w="951" w:type="dxa"/>
            <w:tcBorders/>
            <w:shd w:fill="FFFFFF" w:val="clear"/>
            <w:tcMar>
              <w:bottom w:w="0" w:type="dxa"/>
            </w:tcMar>
            <w:vAlign w:val="center"/>
          </w:tcPr>
          <w:p>
            <w:pPr>
              <w:pStyle w:val="TableContents"/>
              <w:bidi w:val="0"/>
              <w:spacing w:before="0" w:after="283"/>
              <w:jc w:val="right"/>
              <w:rPr>
                <w:b/>
                <w:sz w:val="20"/>
              </w:rPr>
            </w:pPr>
            <w:r>
              <w:rPr>
                <w:b/>
                <w:sz w:val="20"/>
              </w:rPr>
              <w:t>21,669</w:t>
            </w:r>
          </w:p>
        </w:tc>
      </w:tr>
      <w:tr>
        <w:trPr/>
        <w:tc>
          <w:tcPr>
            <w:tcW w:w="2465" w:type="dxa"/>
            <w:tcBorders/>
            <w:shd w:fill="D5EAEA" w:val="clear"/>
            <w:tcMar>
              <w:bottom w:w="0" w:type="dxa"/>
            </w:tcMar>
            <w:vAlign w:val="center"/>
          </w:tcPr>
          <w:p>
            <w:pPr>
              <w:pStyle w:val="TableContents"/>
              <w:bidi w:val="0"/>
              <w:spacing w:before="0" w:after="283"/>
              <w:jc w:val="left"/>
              <w:rPr/>
            </w:pPr>
            <w:r>
              <w:rPr/>
              <w:t> </w:t>
            </w:r>
          </w:p>
        </w:tc>
        <w:tc>
          <w:tcPr>
            <w:tcW w:w="485" w:type="dxa"/>
            <w:tcBorders/>
            <w:shd w:fill="D5EAEA" w:val="clear"/>
            <w:tcMar>
              <w:bottom w:w="0" w:type="dxa"/>
            </w:tcMar>
            <w:vAlign w:val="center"/>
          </w:tcPr>
          <w:p>
            <w:pPr>
              <w:pStyle w:val="TableContents"/>
              <w:bidi w:val="0"/>
              <w:spacing w:before="0" w:after="283"/>
              <w:jc w:val="left"/>
              <w:rPr/>
            </w:pPr>
            <w:r>
              <w:rPr/>
              <w:t> </w:t>
            </w:r>
          </w:p>
        </w:tc>
        <w:tc>
          <w:tcPr>
            <w:tcW w:w="948" w:type="dxa"/>
            <w:tcBorders/>
            <w:shd w:fill="D5EAEA" w:val="clear"/>
            <w:tcMar>
              <w:bottom w:w="0" w:type="dxa"/>
            </w:tcMar>
            <w:vAlign w:val="center"/>
          </w:tcPr>
          <w:p>
            <w:pPr>
              <w:pStyle w:val="TableContents"/>
              <w:bidi w:val="0"/>
              <w:spacing w:before="0" w:after="283"/>
              <w:jc w:val="left"/>
              <w:rPr/>
            </w:pPr>
            <w:r>
              <w:rPr/>
              <w:t> </w:t>
            </w:r>
          </w:p>
        </w:tc>
        <w:tc>
          <w:tcPr>
            <w:tcW w:w="932" w:type="dxa"/>
            <w:tcBorders/>
            <w:shd w:fill="D5EAEA"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pPr>
            <w:r>
              <w:rPr/>
              <w:t> </w:t>
            </w:r>
          </w:p>
        </w:tc>
        <w:tc>
          <w:tcPr>
            <w:tcW w:w="602" w:type="dxa"/>
            <w:tcBorders/>
            <w:shd w:fill="D5EAEA" w:val="clear"/>
            <w:tcMar>
              <w:bottom w:w="0" w:type="dxa"/>
            </w:tcMar>
            <w:vAlign w:val="center"/>
          </w:tcPr>
          <w:p>
            <w:pPr>
              <w:pStyle w:val="TableContents"/>
              <w:bidi w:val="0"/>
              <w:spacing w:before="0" w:after="283"/>
              <w:jc w:val="left"/>
              <w:rPr/>
            </w:pPr>
            <w:r>
              <w:rPr/>
              <w:t> </w:t>
            </w:r>
          </w:p>
        </w:tc>
        <w:tc>
          <w:tcPr>
            <w:tcW w:w="948" w:type="dxa"/>
            <w:tcBorders/>
            <w:shd w:fill="D5EAEA" w:val="clear"/>
            <w:tcMar>
              <w:bottom w:w="0" w:type="dxa"/>
            </w:tcMar>
            <w:vAlign w:val="center"/>
          </w:tcPr>
          <w:p>
            <w:pPr>
              <w:pStyle w:val="TableContents"/>
              <w:bidi w:val="0"/>
              <w:spacing w:before="0" w:after="283"/>
              <w:jc w:val="right"/>
              <w:rPr/>
            </w:pPr>
            <w:r>
              <w:rPr/>
              <w:t> </w:t>
            </w:r>
          </w:p>
        </w:tc>
        <w:tc>
          <w:tcPr>
            <w:tcW w:w="951" w:type="dxa"/>
            <w:tcBorders/>
            <w:shd w:fill="D5EAEA"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pPr>
            <w:r>
              <w:rPr/>
              <w:t> </w:t>
            </w:r>
          </w:p>
        </w:tc>
        <w:tc>
          <w:tcPr>
            <w:tcW w:w="9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FFFFFF" w:val="clear"/>
            <w:tcMar>
              <w:bottom w:w="0" w:type="dxa"/>
            </w:tcMar>
            <w:vAlign w:val="center"/>
          </w:tcPr>
          <w:p>
            <w:pPr>
              <w:pStyle w:val="TableContents"/>
              <w:bidi w:val="0"/>
              <w:spacing w:before="0" w:after="283"/>
              <w:jc w:val="left"/>
              <w:rPr>
                <w:b/>
                <w:sz w:val="20"/>
              </w:rPr>
            </w:pPr>
            <w:r>
              <w:rPr>
                <w:b/>
                <w:sz w:val="20"/>
              </w:rPr>
              <w:t>Equity</w:t>
            </w:r>
          </w:p>
        </w:tc>
        <w:tc>
          <w:tcPr>
            <w:tcW w:w="602" w:type="dxa"/>
            <w:tcBorders/>
            <w:shd w:fill="FFFFFF" w:val="clear"/>
            <w:tcMar>
              <w:bottom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shd w:fill="FFFFFF" w:val="clear"/>
            <w:tcMar>
              <w:top w:w="28" w:type="dxa"/>
            </w:tcMar>
            <w:vAlign w:val="center"/>
          </w:tcPr>
          <w:p>
            <w:pPr>
              <w:pStyle w:val="TableContents"/>
              <w:bidi w:val="0"/>
              <w:spacing w:before="0" w:after="283"/>
              <w:jc w:val="right"/>
              <w:rPr>
                <w:b/>
                <w:sz w:val="20"/>
              </w:rPr>
            </w:pPr>
            <w:r>
              <w:rPr>
                <w:b/>
                <w:sz w:val="20"/>
              </w:rPr>
              <w:t>639,046</w:t>
            </w:r>
          </w:p>
        </w:tc>
        <w:tc>
          <w:tcPr>
            <w:tcW w:w="951" w:type="dxa"/>
            <w:tcBorders>
              <w:top w:val="single" w:sz="8" w:space="0" w:color="000000"/>
              <w:bottom w:val="single" w:sz="8" w:space="0" w:color="000000"/>
            </w:tcBorders>
            <w:shd w:fill="FFFFFF" w:val="clear"/>
            <w:tcMar>
              <w:top w:w="28" w:type="dxa"/>
            </w:tcMar>
            <w:vAlign w:val="center"/>
          </w:tcPr>
          <w:p>
            <w:pPr>
              <w:pStyle w:val="TableContents"/>
              <w:bidi w:val="0"/>
              <w:spacing w:before="0" w:after="283"/>
              <w:jc w:val="right"/>
              <w:rPr>
                <w:b/>
                <w:sz w:val="20"/>
              </w:rPr>
            </w:pPr>
            <w:r>
              <w:rPr>
                <w:b/>
                <w:sz w:val="20"/>
              </w:rPr>
              <w:t>633,419</w:t>
            </w:r>
          </w:p>
        </w:tc>
      </w:tr>
      <w:tr>
        <w:trPr/>
        <w:tc>
          <w:tcPr>
            <w:tcW w:w="2465" w:type="dxa"/>
            <w:tcBorders/>
            <w:shd w:fill="D5EAEA" w:val="clear"/>
            <w:tcMar>
              <w:bottom w:w="0" w:type="dxa"/>
            </w:tcMar>
            <w:vAlign w:val="center"/>
          </w:tcPr>
          <w:p>
            <w:pPr>
              <w:pStyle w:val="TableContents"/>
              <w:bidi w:val="0"/>
              <w:spacing w:before="0" w:after="283"/>
              <w:jc w:val="left"/>
              <w:rPr/>
            </w:pPr>
            <w:r>
              <w:rPr/>
              <w:t> </w:t>
            </w:r>
          </w:p>
        </w:tc>
        <w:tc>
          <w:tcPr>
            <w:tcW w:w="485" w:type="dxa"/>
            <w:tcBorders/>
            <w:shd w:fill="D5EAEA" w:val="clear"/>
            <w:tcMar>
              <w:bottom w:w="0" w:type="dxa"/>
            </w:tcMar>
            <w:vAlign w:val="center"/>
          </w:tcPr>
          <w:p>
            <w:pPr>
              <w:pStyle w:val="TableContents"/>
              <w:bidi w:val="0"/>
              <w:spacing w:before="0" w:after="283"/>
              <w:jc w:val="left"/>
              <w:rPr/>
            </w:pPr>
            <w:r>
              <w:rPr/>
              <w:t> </w:t>
            </w:r>
          </w:p>
        </w:tc>
        <w:tc>
          <w:tcPr>
            <w:tcW w:w="948" w:type="dxa"/>
            <w:tcBorders/>
            <w:shd w:fill="D5EAEA" w:val="clear"/>
            <w:tcMar>
              <w:bottom w:w="0" w:type="dxa"/>
            </w:tcMar>
            <w:vAlign w:val="center"/>
          </w:tcPr>
          <w:p>
            <w:pPr>
              <w:pStyle w:val="TableContents"/>
              <w:bidi w:val="0"/>
              <w:spacing w:before="0" w:after="283"/>
              <w:jc w:val="right"/>
              <w:rPr/>
            </w:pPr>
            <w:r>
              <w:rPr/>
              <w:t> </w:t>
            </w:r>
          </w:p>
        </w:tc>
        <w:tc>
          <w:tcPr>
            <w:tcW w:w="932" w:type="dxa"/>
            <w:tcBorders/>
            <w:shd w:fill="D5EAEA"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shd w:fill="D5EAEA" w:val="clear"/>
            <w:tcMar>
              <w:bottom w:w="0" w:type="dxa"/>
            </w:tcMar>
            <w:vAlign w:val="center"/>
          </w:tcPr>
          <w:p>
            <w:pPr>
              <w:pStyle w:val="TableContents"/>
              <w:bidi w:val="0"/>
              <w:spacing w:before="0" w:after="283"/>
              <w:jc w:val="left"/>
              <w:rPr/>
            </w:pPr>
            <w:r>
              <w:rPr/>
              <w:t> </w:t>
            </w:r>
          </w:p>
        </w:tc>
        <w:tc>
          <w:tcPr>
            <w:tcW w:w="602" w:type="dxa"/>
            <w:tcBorders/>
            <w:shd w:fill="D5EAEA" w:val="clear"/>
            <w:tcMar>
              <w:bottom w:w="0" w:type="dxa"/>
            </w:tcMar>
            <w:vAlign w:val="center"/>
          </w:tcPr>
          <w:p>
            <w:pPr>
              <w:pStyle w:val="TableContents"/>
              <w:bidi w:val="0"/>
              <w:spacing w:before="0" w:after="283"/>
              <w:jc w:val="left"/>
              <w:rPr/>
            </w:pPr>
            <w:r>
              <w:rPr/>
              <w:t> </w:t>
            </w:r>
          </w:p>
        </w:tc>
        <w:tc>
          <w:tcPr>
            <w:tcW w:w="948" w:type="dxa"/>
            <w:tcBorders/>
            <w:shd w:fill="D5EAEA" w:val="clear"/>
            <w:tcMar>
              <w:bottom w:w="0" w:type="dxa"/>
            </w:tcMar>
            <w:vAlign w:val="center"/>
          </w:tcPr>
          <w:p>
            <w:pPr>
              <w:pStyle w:val="TableContents"/>
              <w:bidi w:val="0"/>
              <w:spacing w:before="0" w:after="283"/>
              <w:jc w:val="right"/>
              <w:rPr/>
            </w:pPr>
            <w:r>
              <w:rPr/>
              <w:t> </w:t>
            </w:r>
          </w:p>
        </w:tc>
        <w:tc>
          <w:tcPr>
            <w:tcW w:w="951" w:type="dxa"/>
            <w:tcBorders/>
            <w:shd w:fill="D5EAEA" w:val="clear"/>
            <w:tcMar>
              <w:bottom w:w="0" w:type="dxa"/>
            </w:tcMar>
            <w:vAlign w:val="center"/>
          </w:tcPr>
          <w:p>
            <w:pPr>
              <w:pStyle w:val="TableContents"/>
              <w:bidi w:val="0"/>
              <w:spacing w:before="0" w:after="283"/>
              <w:jc w:val="left"/>
              <w:rPr/>
            </w:pPr>
            <w:r>
              <w:rPr/>
              <w:t> </w:t>
            </w:r>
          </w:p>
        </w:tc>
      </w:tr>
      <w:tr>
        <w:trPr/>
        <w:tc>
          <w:tcPr>
            <w:tcW w:w="2465"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left"/>
              <w:rPr>
                <w:b/>
                <w:sz w:val="20"/>
              </w:rPr>
            </w:pPr>
            <w:r>
              <w:rPr>
                <w:b/>
                <w:sz w:val="20"/>
              </w:rPr>
              <w:t>Total assets</w:t>
            </w:r>
          </w:p>
        </w:tc>
        <w:tc>
          <w:tcPr>
            <w:tcW w:w="485"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center"/>
              <w:rPr/>
            </w:pPr>
            <w:r>
              <w:rPr/>
              <w:t> </w:t>
            </w:r>
          </w:p>
        </w:tc>
        <w:tc>
          <w:tcPr>
            <w:tcW w:w="948"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right"/>
              <w:rPr>
                <w:b/>
                <w:sz w:val="20"/>
              </w:rPr>
            </w:pPr>
            <w:r>
              <w:rPr>
                <w:b/>
                <w:sz w:val="20"/>
              </w:rPr>
              <w:t>1,828,911</w:t>
            </w:r>
          </w:p>
        </w:tc>
        <w:tc>
          <w:tcPr>
            <w:tcW w:w="932"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right"/>
              <w:rPr>
                <w:b/>
                <w:sz w:val="20"/>
              </w:rPr>
            </w:pPr>
            <w:r>
              <w:rPr>
                <w:b/>
                <w:sz w:val="20"/>
              </w:rPr>
              <w:t>1,495,109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4"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left"/>
              <w:rPr>
                <w:b/>
                <w:sz w:val="20"/>
              </w:rPr>
            </w:pPr>
            <w:r>
              <w:rPr>
                <w:b/>
                <w:sz w:val="20"/>
              </w:rPr>
              <w:t>Total liabilities and equity</w:t>
            </w:r>
          </w:p>
        </w:tc>
        <w:tc>
          <w:tcPr>
            <w:tcW w:w="602"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center"/>
              <w:rPr/>
            </w:pPr>
            <w:r>
              <w:rPr/>
              <w:t> </w:t>
            </w:r>
          </w:p>
        </w:tc>
        <w:tc>
          <w:tcPr>
            <w:tcW w:w="948"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right"/>
              <w:rPr>
                <w:b/>
                <w:sz w:val="20"/>
              </w:rPr>
            </w:pPr>
            <w:r>
              <w:rPr>
                <w:b/>
                <w:sz w:val="20"/>
              </w:rPr>
              <w:t>1,828,911</w:t>
            </w:r>
          </w:p>
        </w:tc>
        <w:tc>
          <w:tcPr>
            <w:tcW w:w="951"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right"/>
              <w:rPr>
                <w:b/>
                <w:sz w:val="20"/>
              </w:rPr>
            </w:pPr>
            <w:r>
              <w:rPr>
                <w:b/>
                <w:sz w:val="20"/>
              </w:rPr>
              <w:t>1,495,109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Patria Investments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Income (unaudited)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three and six-month periods ended June 30, 2026, and 2025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United States dollars - US$, except earnings per share)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1483"/>
        <w:gridCol w:w="1478"/>
        <w:gridCol w:w="485"/>
        <w:gridCol w:w="1533"/>
        <w:gridCol w:w="1533"/>
        <w:gridCol w:w="1505"/>
        <w:gridCol w:w="1343"/>
      </w:tblGrid>
      <w:tr>
        <w:trPr/>
        <w:tc>
          <w:tcPr>
            <w:tcW w:w="845" w:type="dxa"/>
            <w:tcBorders/>
            <w:vAlign w:val="center"/>
          </w:tcPr>
          <w:p>
            <w:pPr>
              <w:pStyle w:val="TableContents"/>
              <w:bidi w:val="0"/>
              <w:spacing w:before="0" w:after="283"/>
              <w:jc w:val="center"/>
              <w:rPr/>
            </w:pPr>
            <w:r>
              <w:rPr/>
              <w:t> </w:t>
            </w:r>
          </w:p>
        </w:tc>
        <w:tc>
          <w:tcPr>
            <w:tcW w:w="1483" w:type="dxa"/>
            <w:tcBorders/>
            <w:vAlign w:val="center"/>
          </w:tcPr>
          <w:p>
            <w:pPr>
              <w:pStyle w:val="TableContents"/>
              <w:bidi w:val="0"/>
              <w:spacing w:before="0" w:after="283"/>
              <w:jc w:val="center"/>
              <w:rPr/>
            </w:pPr>
            <w:r>
              <w:rPr/>
              <w:t> </w:t>
            </w:r>
          </w:p>
        </w:tc>
        <w:tc>
          <w:tcPr>
            <w:tcW w:w="1478"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306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periods ended June 30,</w:t>
            </w:r>
          </w:p>
        </w:tc>
        <w:tc>
          <w:tcPr>
            <w:tcW w:w="284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periods ended June 30,</w:t>
            </w:r>
          </w:p>
        </w:tc>
      </w:tr>
      <w:tr>
        <w:trPr/>
        <w:tc>
          <w:tcPr>
            <w:tcW w:w="845" w:type="dxa"/>
            <w:tcBorders/>
            <w:vAlign w:val="center"/>
          </w:tcPr>
          <w:p>
            <w:pPr>
              <w:pStyle w:val="TableContents"/>
              <w:bidi w:val="0"/>
              <w:spacing w:before="0" w:after="283"/>
              <w:jc w:val="left"/>
              <w:rPr/>
            </w:pPr>
            <w:r>
              <w:rPr/>
              <w:t> </w:t>
            </w:r>
          </w:p>
        </w:tc>
        <w:tc>
          <w:tcPr>
            <w:tcW w:w="1483"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Notes</w:t>
            </w:r>
          </w:p>
        </w:tc>
        <w:tc>
          <w:tcPr>
            <w:tcW w:w="1533"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533"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5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43"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845" w:type="dxa"/>
            <w:tcBorders>
              <w:top w:val="single" w:sz="8" w:space="0" w:color="000000"/>
            </w:tcBorders>
            <w:tcMar>
              <w:top w:w="28" w:type="dxa"/>
            </w:tcMar>
            <w:vAlign w:val="center"/>
          </w:tcPr>
          <w:p>
            <w:pPr>
              <w:pStyle w:val="TableContents"/>
              <w:bidi w:val="0"/>
              <w:spacing w:before="0" w:after="283"/>
              <w:jc w:val="left"/>
              <w:rPr/>
            </w:pPr>
            <w:r>
              <w:rPr/>
              <w:t> </w:t>
            </w:r>
          </w:p>
        </w:tc>
        <w:tc>
          <w:tcPr>
            <w:tcW w:w="1483" w:type="dxa"/>
            <w:tcBorders>
              <w:top w:val="single" w:sz="8" w:space="0" w:color="000000"/>
            </w:tcBorders>
            <w:tcMar>
              <w:top w:w="28" w:type="dxa"/>
            </w:tcMar>
            <w:vAlign w:val="center"/>
          </w:tcPr>
          <w:p>
            <w:pPr>
              <w:pStyle w:val="TableContents"/>
              <w:bidi w:val="0"/>
              <w:spacing w:before="0" w:after="283"/>
              <w:jc w:val="left"/>
              <w:rPr/>
            </w:pPr>
            <w:r>
              <w:rPr/>
              <w:t> </w:t>
            </w:r>
          </w:p>
        </w:tc>
        <w:tc>
          <w:tcPr>
            <w:tcW w:w="1478" w:type="dxa"/>
            <w:tcBorders>
              <w:top w:val="single" w:sz="8" w:space="0" w:color="000000"/>
            </w:tcBorders>
            <w:tcMar>
              <w:top w:w="28" w:type="dxa"/>
            </w:tcMar>
            <w:vAlign w:val="center"/>
          </w:tcPr>
          <w:p>
            <w:pPr>
              <w:pStyle w:val="TableContents"/>
              <w:bidi w:val="0"/>
              <w:spacing w:before="0" w:after="283"/>
              <w:jc w:val="left"/>
              <w:rPr/>
            </w:pPr>
            <w:r>
              <w:rPr/>
              <w:t> </w:t>
            </w:r>
          </w:p>
        </w:tc>
        <w:tc>
          <w:tcPr>
            <w:tcW w:w="485" w:type="dxa"/>
            <w:tcBorders>
              <w:top w:val="single" w:sz="8" w:space="0" w:color="000000"/>
            </w:tcBorders>
            <w:tcMar>
              <w:top w:w="28" w:type="dxa"/>
            </w:tcMar>
            <w:vAlign w:val="center"/>
          </w:tcPr>
          <w:p>
            <w:pPr>
              <w:pStyle w:val="TableContents"/>
              <w:bidi w:val="0"/>
              <w:spacing w:before="0" w:after="283"/>
              <w:jc w:val="center"/>
              <w:rPr/>
            </w:pPr>
            <w:r>
              <w:rPr/>
              <w:t> </w:t>
            </w:r>
          </w:p>
        </w:tc>
        <w:tc>
          <w:tcPr>
            <w:tcW w:w="1533"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left"/>
              <w:rPr/>
            </w:pPr>
            <w:r>
              <w:rPr/>
              <w:t> </w:t>
            </w:r>
          </w:p>
        </w:tc>
      </w:tr>
      <w:tr>
        <w:trPr/>
        <w:tc>
          <w:tcPr>
            <w:tcW w:w="3806" w:type="dxa"/>
            <w:gridSpan w:val="3"/>
            <w:tcBorders/>
            <w:shd w:fill="D5EAEA" w:val="clear"/>
            <w:vAlign w:val="center"/>
          </w:tcPr>
          <w:p>
            <w:pPr>
              <w:pStyle w:val="TableContents"/>
              <w:bidi w:val="0"/>
              <w:spacing w:before="0" w:after="283"/>
              <w:jc w:val="left"/>
              <w:rPr>
                <w:b/>
                <w:sz w:val="20"/>
              </w:rPr>
            </w:pPr>
            <w:r>
              <w:rPr>
                <w:b/>
                <w:sz w:val="20"/>
              </w:rPr>
              <w:t>Net revenue from services</w:t>
            </w:r>
          </w:p>
        </w:tc>
        <w:tc>
          <w:tcPr>
            <w:tcW w:w="485" w:type="dxa"/>
            <w:tcBorders/>
            <w:shd w:fill="D5EAEA" w:val="clear"/>
            <w:vAlign w:val="center"/>
          </w:tcPr>
          <w:p>
            <w:pPr>
              <w:pStyle w:val="TableContents"/>
              <w:bidi w:val="0"/>
              <w:spacing w:before="0" w:after="283"/>
              <w:jc w:val="center"/>
              <w:rPr>
                <w:sz w:val="20"/>
              </w:rPr>
            </w:pPr>
            <w:r>
              <w:rPr>
                <w:sz w:val="20"/>
              </w:rPr>
              <w:t>22</w:t>
            </w:r>
          </w:p>
        </w:tc>
        <w:tc>
          <w:tcPr>
            <w:tcW w:w="1533" w:type="dxa"/>
            <w:tcBorders/>
            <w:shd w:fill="D5EAEA" w:val="clear"/>
            <w:vAlign w:val="center"/>
          </w:tcPr>
          <w:p>
            <w:pPr>
              <w:pStyle w:val="TableContents"/>
              <w:bidi w:val="0"/>
              <w:spacing w:before="0" w:after="283"/>
              <w:jc w:val="right"/>
              <w:rPr>
                <w:b/>
                <w:sz w:val="20"/>
              </w:rPr>
            </w:pPr>
            <w:r>
              <w:rPr>
                <w:b/>
                <w:sz w:val="20"/>
              </w:rPr>
              <w:t>111,290</w:t>
            </w:r>
          </w:p>
        </w:tc>
        <w:tc>
          <w:tcPr>
            <w:tcW w:w="1533" w:type="dxa"/>
            <w:tcBorders/>
            <w:shd w:fill="D5EAEA" w:val="clear"/>
            <w:vAlign w:val="center"/>
          </w:tcPr>
          <w:p>
            <w:pPr>
              <w:pStyle w:val="TableContents"/>
              <w:bidi w:val="0"/>
              <w:spacing w:before="0" w:after="283"/>
              <w:jc w:val="right"/>
              <w:rPr>
                <w:b/>
                <w:sz w:val="20"/>
              </w:rPr>
            </w:pPr>
            <w:r>
              <w:rPr>
                <w:b/>
                <w:sz w:val="20"/>
              </w:rPr>
              <w:t>82,522</w:t>
            </w:r>
          </w:p>
        </w:tc>
        <w:tc>
          <w:tcPr>
            <w:tcW w:w="1505" w:type="dxa"/>
            <w:tcBorders/>
            <w:shd w:fill="D5EAEA" w:val="clear"/>
            <w:vAlign w:val="center"/>
          </w:tcPr>
          <w:p>
            <w:pPr>
              <w:pStyle w:val="TableContents"/>
              <w:bidi w:val="0"/>
              <w:spacing w:before="0" w:after="283"/>
              <w:jc w:val="right"/>
              <w:rPr>
                <w:b/>
                <w:sz w:val="20"/>
              </w:rPr>
            </w:pPr>
            <w:r>
              <w:rPr>
                <w:b/>
                <w:sz w:val="20"/>
              </w:rPr>
              <w:t>208,359</w:t>
            </w:r>
          </w:p>
        </w:tc>
        <w:tc>
          <w:tcPr>
            <w:tcW w:w="1343" w:type="dxa"/>
            <w:tcBorders/>
            <w:shd w:fill="D5EAEA" w:val="clear"/>
            <w:vAlign w:val="center"/>
          </w:tcPr>
          <w:p>
            <w:pPr>
              <w:pStyle w:val="TableContents"/>
              <w:bidi w:val="0"/>
              <w:spacing w:before="0" w:after="283"/>
              <w:jc w:val="right"/>
              <w:rPr>
                <w:b/>
                <w:sz w:val="20"/>
              </w:rPr>
            </w:pPr>
            <w:r>
              <w:rPr>
                <w:b/>
                <w:sz w:val="20"/>
              </w:rPr>
              <w:t>162,089</w:t>
            </w:r>
          </w:p>
        </w:tc>
      </w:tr>
      <w:tr>
        <w:trPr/>
        <w:tc>
          <w:tcPr>
            <w:tcW w:w="845"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left"/>
              <w:rPr/>
            </w:pPr>
            <w:r>
              <w:rPr/>
              <w:t> </w:t>
            </w:r>
          </w:p>
        </w:tc>
        <w:tc>
          <w:tcPr>
            <w:tcW w:w="1478"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533" w:type="dxa"/>
            <w:tcBorders/>
            <w:shd w:fill="FFFFFF" w:val="clear"/>
            <w:vAlign w:val="center"/>
          </w:tcPr>
          <w:p>
            <w:pPr>
              <w:pStyle w:val="TableContents"/>
              <w:bidi w:val="0"/>
              <w:spacing w:before="0" w:after="283"/>
              <w:jc w:val="right"/>
              <w:rPr/>
            </w:pPr>
            <w:r>
              <w:rPr/>
              <w:t> </w:t>
            </w:r>
          </w:p>
        </w:tc>
        <w:tc>
          <w:tcPr>
            <w:tcW w:w="1533" w:type="dxa"/>
            <w:tcBorders/>
            <w:shd w:fill="FFFFFF" w:val="clear"/>
            <w:vAlign w:val="center"/>
          </w:tcPr>
          <w:p>
            <w:pPr>
              <w:pStyle w:val="TableContents"/>
              <w:bidi w:val="0"/>
              <w:spacing w:before="0" w:after="283"/>
              <w:jc w:val="right"/>
              <w:rPr/>
            </w:pPr>
            <w:r>
              <w:rPr/>
              <w:t> </w:t>
            </w:r>
          </w:p>
        </w:tc>
        <w:tc>
          <w:tcPr>
            <w:tcW w:w="1505" w:type="dxa"/>
            <w:tcBorders/>
            <w:shd w:fill="FFFFFF" w:val="clear"/>
            <w:vAlign w:val="center"/>
          </w:tcPr>
          <w:p>
            <w:pPr>
              <w:pStyle w:val="TableContents"/>
              <w:bidi w:val="0"/>
              <w:spacing w:before="0" w:after="283"/>
              <w:jc w:val="right"/>
              <w:rPr/>
            </w:pPr>
            <w:r>
              <w:rPr/>
              <w:t> </w:t>
            </w:r>
          </w:p>
        </w:tc>
        <w:tc>
          <w:tcPr>
            <w:tcW w:w="1343" w:type="dxa"/>
            <w:tcBorders/>
            <w:shd w:fill="FFFFFF" w:val="clear"/>
            <w:vAlign w:val="center"/>
          </w:tcPr>
          <w:p>
            <w:pPr>
              <w:pStyle w:val="TableContents"/>
              <w:bidi w:val="0"/>
              <w:spacing w:before="0" w:after="283"/>
              <w:jc w:val="right"/>
              <w:rPr/>
            </w:pPr>
            <w:r>
              <w:rPr/>
              <w:t> </w:t>
            </w:r>
          </w:p>
        </w:tc>
      </w:tr>
      <w:tr>
        <w:trPr/>
        <w:tc>
          <w:tcPr>
            <w:tcW w:w="845" w:type="dxa"/>
            <w:tcBorders/>
            <w:shd w:fill="D5EAEA" w:val="clear"/>
            <w:vAlign w:val="center"/>
          </w:tcPr>
          <w:p>
            <w:pPr>
              <w:pStyle w:val="TableContents"/>
              <w:bidi w:val="0"/>
              <w:spacing w:before="0" w:after="283"/>
              <w:jc w:val="left"/>
              <w:rPr/>
            </w:pPr>
            <w:r>
              <w:rPr/>
              <w:t> </w:t>
            </w:r>
          </w:p>
        </w:tc>
        <w:tc>
          <w:tcPr>
            <w:tcW w:w="2961" w:type="dxa"/>
            <w:gridSpan w:val="2"/>
            <w:tcBorders/>
            <w:shd w:fill="D5EAEA" w:val="clear"/>
            <w:vAlign w:val="center"/>
          </w:tcPr>
          <w:p>
            <w:pPr>
              <w:pStyle w:val="TableContents"/>
              <w:bidi w:val="0"/>
              <w:spacing w:before="0" w:after="283"/>
              <w:jc w:val="left"/>
              <w:rPr>
                <w:sz w:val="20"/>
              </w:rPr>
            </w:pPr>
            <w:r>
              <w:rPr>
                <w:sz w:val="20"/>
              </w:rPr>
              <w:t>Personnel expenses</w:t>
            </w:r>
          </w:p>
        </w:tc>
        <w:tc>
          <w:tcPr>
            <w:tcW w:w="485" w:type="dxa"/>
            <w:tcBorders/>
            <w:shd w:fill="D5EAEA" w:val="clear"/>
            <w:vAlign w:val="center"/>
          </w:tcPr>
          <w:p>
            <w:pPr>
              <w:pStyle w:val="TableContents"/>
              <w:bidi w:val="0"/>
              <w:spacing w:before="0" w:after="283"/>
              <w:jc w:val="center"/>
              <w:rPr>
                <w:sz w:val="20"/>
              </w:rPr>
            </w:pPr>
            <w:r>
              <w:rPr>
                <w:sz w:val="20"/>
              </w:rPr>
              <w:t>23</w:t>
            </w:r>
          </w:p>
        </w:tc>
        <w:tc>
          <w:tcPr>
            <w:tcW w:w="1533" w:type="dxa"/>
            <w:tcBorders/>
            <w:shd w:fill="D5EAEA" w:val="clear"/>
            <w:vAlign w:val="center"/>
          </w:tcPr>
          <w:p>
            <w:pPr>
              <w:pStyle w:val="TableContents"/>
              <w:bidi w:val="0"/>
              <w:spacing w:before="0" w:after="283"/>
              <w:jc w:val="right"/>
              <w:rPr>
                <w:sz w:val="20"/>
              </w:rPr>
            </w:pPr>
            <w:r>
              <w:rPr>
                <w:sz w:val="20"/>
              </w:rPr>
              <w:t>(54,778)</w:t>
            </w:r>
          </w:p>
        </w:tc>
        <w:tc>
          <w:tcPr>
            <w:tcW w:w="1533" w:type="dxa"/>
            <w:tcBorders/>
            <w:shd w:fill="D5EAEA" w:val="clear"/>
            <w:vAlign w:val="center"/>
          </w:tcPr>
          <w:p>
            <w:pPr>
              <w:pStyle w:val="TableContents"/>
              <w:bidi w:val="0"/>
              <w:spacing w:before="0" w:after="283"/>
              <w:jc w:val="right"/>
              <w:rPr>
                <w:sz w:val="20"/>
              </w:rPr>
            </w:pPr>
            <w:r>
              <w:rPr>
                <w:sz w:val="20"/>
              </w:rPr>
              <w:t>(33,082)</w:t>
            </w:r>
          </w:p>
        </w:tc>
        <w:tc>
          <w:tcPr>
            <w:tcW w:w="1505" w:type="dxa"/>
            <w:tcBorders/>
            <w:shd w:fill="D5EAEA" w:val="clear"/>
            <w:vAlign w:val="center"/>
          </w:tcPr>
          <w:p>
            <w:pPr>
              <w:pStyle w:val="TableContents"/>
              <w:bidi w:val="0"/>
              <w:spacing w:before="0" w:after="283"/>
              <w:jc w:val="right"/>
              <w:rPr>
                <w:sz w:val="20"/>
              </w:rPr>
            </w:pPr>
            <w:r>
              <w:rPr>
                <w:sz w:val="20"/>
              </w:rPr>
              <w:t>(101,679)</w:t>
            </w:r>
          </w:p>
        </w:tc>
        <w:tc>
          <w:tcPr>
            <w:tcW w:w="1343" w:type="dxa"/>
            <w:tcBorders/>
            <w:shd w:fill="D5EAEA" w:val="clear"/>
            <w:vAlign w:val="center"/>
          </w:tcPr>
          <w:p>
            <w:pPr>
              <w:pStyle w:val="TableContents"/>
              <w:bidi w:val="0"/>
              <w:spacing w:before="0" w:after="283"/>
              <w:jc w:val="right"/>
              <w:rPr>
                <w:sz w:val="20"/>
              </w:rPr>
            </w:pPr>
            <w:r>
              <w:rPr>
                <w:sz w:val="20"/>
              </w:rPr>
              <w:t>(62,150)</w:t>
            </w:r>
          </w:p>
        </w:tc>
      </w:tr>
      <w:tr>
        <w:trPr/>
        <w:tc>
          <w:tcPr>
            <w:tcW w:w="845" w:type="dxa"/>
            <w:tcBorders/>
            <w:shd w:fill="FFFFFF" w:val="clear"/>
            <w:vAlign w:val="center"/>
          </w:tcPr>
          <w:p>
            <w:pPr>
              <w:pStyle w:val="TableContents"/>
              <w:bidi w:val="0"/>
              <w:spacing w:before="0" w:after="283"/>
              <w:jc w:val="left"/>
              <w:rPr/>
            </w:pPr>
            <w:r>
              <w:rPr/>
              <w:t> </w:t>
            </w:r>
          </w:p>
        </w:tc>
        <w:tc>
          <w:tcPr>
            <w:tcW w:w="2961" w:type="dxa"/>
            <w:gridSpan w:val="2"/>
            <w:tcBorders/>
            <w:shd w:fill="FFFFFF" w:val="clear"/>
            <w:vAlign w:val="center"/>
          </w:tcPr>
          <w:p>
            <w:pPr>
              <w:pStyle w:val="TableContents"/>
              <w:bidi w:val="0"/>
              <w:spacing w:before="0" w:after="283"/>
              <w:jc w:val="left"/>
              <w:rPr>
                <w:sz w:val="20"/>
              </w:rPr>
            </w:pPr>
            <w:r>
              <w:rPr>
                <w:sz w:val="20"/>
              </w:rPr>
              <w:t>Carried interest allocation</w:t>
            </w:r>
          </w:p>
        </w:tc>
        <w:tc>
          <w:tcPr>
            <w:tcW w:w="485" w:type="dxa"/>
            <w:tcBorders/>
            <w:shd w:fill="FFFFFF" w:val="clear"/>
            <w:vAlign w:val="center"/>
          </w:tcPr>
          <w:p>
            <w:pPr>
              <w:pStyle w:val="TableContents"/>
              <w:bidi w:val="0"/>
              <w:spacing w:before="0" w:after="283"/>
              <w:jc w:val="center"/>
              <w:rPr>
                <w:sz w:val="20"/>
              </w:rPr>
            </w:pPr>
            <w:r>
              <w:rPr>
                <w:sz w:val="20"/>
              </w:rPr>
              <w:t>23</w:t>
            </w:r>
          </w:p>
        </w:tc>
        <w:tc>
          <w:tcPr>
            <w:tcW w:w="1533" w:type="dxa"/>
            <w:tcBorders/>
            <w:shd w:fill="FFFFFF" w:val="clear"/>
            <w:vAlign w:val="center"/>
          </w:tcPr>
          <w:p>
            <w:pPr>
              <w:pStyle w:val="TableContents"/>
              <w:bidi w:val="0"/>
              <w:spacing w:before="0" w:after="283"/>
              <w:jc w:val="right"/>
              <w:rPr>
                <w:sz w:val="20"/>
              </w:rPr>
            </w:pPr>
            <w:r>
              <w:rPr>
                <w:sz w:val="20"/>
              </w:rPr>
              <w:t>-</w:t>
            </w:r>
          </w:p>
        </w:tc>
        <w:tc>
          <w:tcPr>
            <w:tcW w:w="1533" w:type="dxa"/>
            <w:tcBorders/>
            <w:shd w:fill="FFFFFF" w:val="clear"/>
            <w:vAlign w:val="center"/>
          </w:tcPr>
          <w:p>
            <w:pPr>
              <w:pStyle w:val="TableContents"/>
              <w:bidi w:val="0"/>
              <w:spacing w:before="0" w:after="283"/>
              <w:jc w:val="right"/>
              <w:rPr>
                <w:sz w:val="20"/>
              </w:rPr>
            </w:pPr>
            <w:r>
              <w:rPr>
                <w:sz w:val="20"/>
              </w:rPr>
              <w:t>(897)</w:t>
            </w:r>
          </w:p>
        </w:tc>
        <w:tc>
          <w:tcPr>
            <w:tcW w:w="1505" w:type="dxa"/>
            <w:tcBorders/>
            <w:shd w:fill="FFFFFF" w:val="clear"/>
            <w:vAlign w:val="center"/>
          </w:tcPr>
          <w:p>
            <w:pPr>
              <w:pStyle w:val="TableContents"/>
              <w:bidi w:val="0"/>
              <w:spacing w:before="0" w:after="283"/>
              <w:jc w:val="right"/>
              <w:rPr>
                <w:sz w:val="20"/>
              </w:rPr>
            </w:pPr>
            <w:r>
              <w:rPr>
                <w:sz w:val="20"/>
              </w:rPr>
              <w:t>-</w:t>
            </w:r>
          </w:p>
        </w:tc>
        <w:tc>
          <w:tcPr>
            <w:tcW w:w="1343" w:type="dxa"/>
            <w:tcBorders/>
            <w:shd w:fill="FFFFFF" w:val="clear"/>
            <w:vAlign w:val="center"/>
          </w:tcPr>
          <w:p>
            <w:pPr>
              <w:pStyle w:val="TableContents"/>
              <w:bidi w:val="0"/>
              <w:spacing w:before="0" w:after="283"/>
              <w:jc w:val="right"/>
              <w:rPr>
                <w:sz w:val="20"/>
              </w:rPr>
            </w:pPr>
            <w:r>
              <w:rPr>
                <w:sz w:val="20"/>
              </w:rPr>
              <w:t>(897)</w:t>
            </w:r>
          </w:p>
        </w:tc>
      </w:tr>
      <w:tr>
        <w:trPr/>
        <w:tc>
          <w:tcPr>
            <w:tcW w:w="845" w:type="dxa"/>
            <w:tcBorders/>
            <w:shd w:fill="D5EAEA" w:val="clear"/>
            <w:vAlign w:val="center"/>
          </w:tcPr>
          <w:p>
            <w:pPr>
              <w:pStyle w:val="TableContents"/>
              <w:bidi w:val="0"/>
              <w:spacing w:before="0" w:after="283"/>
              <w:jc w:val="left"/>
              <w:rPr/>
            </w:pPr>
            <w:r>
              <w:rPr/>
              <w:t> </w:t>
            </w:r>
          </w:p>
        </w:tc>
        <w:tc>
          <w:tcPr>
            <w:tcW w:w="2961" w:type="dxa"/>
            <w:gridSpan w:val="2"/>
            <w:tcBorders/>
            <w:shd w:fill="D5EAEA" w:val="clear"/>
            <w:vAlign w:val="center"/>
          </w:tcPr>
          <w:p>
            <w:pPr>
              <w:pStyle w:val="TableContents"/>
              <w:bidi w:val="0"/>
              <w:spacing w:before="0" w:after="283"/>
              <w:jc w:val="left"/>
              <w:rPr>
                <w:sz w:val="20"/>
              </w:rPr>
            </w:pPr>
            <w:r>
              <w:rPr>
                <w:sz w:val="20"/>
              </w:rPr>
              <w:t>Deferred consideration expenses</w:t>
            </w:r>
          </w:p>
        </w:tc>
        <w:tc>
          <w:tcPr>
            <w:tcW w:w="485" w:type="dxa"/>
            <w:tcBorders/>
            <w:shd w:fill="D5EAEA" w:val="clear"/>
            <w:vAlign w:val="center"/>
          </w:tcPr>
          <w:p>
            <w:pPr>
              <w:pStyle w:val="TableContents"/>
              <w:bidi w:val="0"/>
              <w:spacing w:before="0" w:after="283"/>
              <w:jc w:val="center"/>
              <w:rPr/>
            </w:pPr>
            <w:r>
              <w:rPr/>
              <w:t> </w:t>
            </w:r>
          </w:p>
        </w:tc>
        <w:tc>
          <w:tcPr>
            <w:tcW w:w="1533" w:type="dxa"/>
            <w:tcBorders/>
            <w:shd w:fill="D5EAEA" w:val="clear"/>
            <w:vAlign w:val="center"/>
          </w:tcPr>
          <w:p>
            <w:pPr>
              <w:pStyle w:val="TableContents"/>
              <w:bidi w:val="0"/>
              <w:spacing w:before="0" w:after="283"/>
              <w:jc w:val="right"/>
              <w:rPr>
                <w:sz w:val="20"/>
              </w:rPr>
            </w:pPr>
            <w:r>
              <w:rPr>
                <w:sz w:val="20"/>
              </w:rPr>
              <w:t>(1,350)</w:t>
            </w:r>
          </w:p>
        </w:tc>
        <w:tc>
          <w:tcPr>
            <w:tcW w:w="1533" w:type="dxa"/>
            <w:tcBorders/>
            <w:shd w:fill="D5EAEA" w:val="clear"/>
            <w:vAlign w:val="center"/>
          </w:tcPr>
          <w:p>
            <w:pPr>
              <w:pStyle w:val="TableContents"/>
              <w:bidi w:val="0"/>
              <w:spacing w:before="0" w:after="283"/>
              <w:jc w:val="right"/>
              <w:rPr>
                <w:sz w:val="20"/>
              </w:rPr>
            </w:pPr>
            <w:r>
              <w:rPr>
                <w:sz w:val="20"/>
              </w:rPr>
              <w:t>(865)</w:t>
            </w:r>
          </w:p>
        </w:tc>
        <w:tc>
          <w:tcPr>
            <w:tcW w:w="1505" w:type="dxa"/>
            <w:tcBorders/>
            <w:shd w:fill="D5EAEA" w:val="clear"/>
            <w:vAlign w:val="center"/>
          </w:tcPr>
          <w:p>
            <w:pPr>
              <w:pStyle w:val="TableContents"/>
              <w:bidi w:val="0"/>
              <w:spacing w:before="0" w:after="283"/>
              <w:jc w:val="right"/>
              <w:rPr>
                <w:sz w:val="20"/>
              </w:rPr>
            </w:pPr>
            <w:r>
              <w:rPr>
                <w:sz w:val="20"/>
              </w:rPr>
              <w:t>(2,745)</w:t>
            </w:r>
          </w:p>
        </w:tc>
        <w:tc>
          <w:tcPr>
            <w:tcW w:w="1343" w:type="dxa"/>
            <w:tcBorders/>
            <w:shd w:fill="D5EAEA" w:val="clear"/>
            <w:vAlign w:val="center"/>
          </w:tcPr>
          <w:p>
            <w:pPr>
              <w:pStyle w:val="TableContents"/>
              <w:bidi w:val="0"/>
              <w:spacing w:before="0" w:after="283"/>
              <w:jc w:val="right"/>
              <w:rPr>
                <w:sz w:val="20"/>
              </w:rPr>
            </w:pPr>
            <w:r>
              <w:rPr>
                <w:sz w:val="20"/>
              </w:rPr>
              <w:t>(1,606)</w:t>
            </w:r>
          </w:p>
        </w:tc>
      </w:tr>
      <w:tr>
        <w:trPr/>
        <w:tc>
          <w:tcPr>
            <w:tcW w:w="845" w:type="dxa"/>
            <w:tcBorders/>
            <w:shd w:fill="FFFFFF" w:val="clear"/>
            <w:vAlign w:val="center"/>
          </w:tcPr>
          <w:p>
            <w:pPr>
              <w:pStyle w:val="TableContents"/>
              <w:bidi w:val="0"/>
              <w:spacing w:before="0" w:after="283"/>
              <w:jc w:val="left"/>
              <w:rPr/>
            </w:pPr>
            <w:r>
              <w:rPr/>
              <w:t> </w:t>
            </w:r>
          </w:p>
        </w:tc>
        <w:tc>
          <w:tcPr>
            <w:tcW w:w="2961" w:type="dxa"/>
            <w:gridSpan w:val="2"/>
            <w:tcBorders/>
            <w:shd w:fill="FFFFFF" w:val="clear"/>
            <w:vAlign w:val="center"/>
          </w:tcPr>
          <w:p>
            <w:pPr>
              <w:pStyle w:val="TableContents"/>
              <w:bidi w:val="0"/>
              <w:spacing w:before="0" w:after="283"/>
              <w:jc w:val="left"/>
              <w:rPr>
                <w:sz w:val="20"/>
              </w:rPr>
            </w:pPr>
            <w:r>
              <w:rPr>
                <w:sz w:val="20"/>
              </w:rPr>
              <w:t>Amortization of intangible assets</w:t>
            </w:r>
          </w:p>
        </w:tc>
        <w:tc>
          <w:tcPr>
            <w:tcW w:w="485" w:type="dxa"/>
            <w:tcBorders/>
            <w:shd w:fill="FFFFFF" w:val="clear"/>
            <w:vAlign w:val="center"/>
          </w:tcPr>
          <w:p>
            <w:pPr>
              <w:pStyle w:val="TableContents"/>
              <w:bidi w:val="0"/>
              <w:spacing w:before="0" w:after="283"/>
              <w:jc w:val="center"/>
              <w:rPr>
                <w:sz w:val="20"/>
              </w:rPr>
            </w:pPr>
            <w:r>
              <w:rPr>
                <w:sz w:val="20"/>
              </w:rPr>
              <w:t>24</w:t>
            </w:r>
          </w:p>
        </w:tc>
        <w:tc>
          <w:tcPr>
            <w:tcW w:w="1533" w:type="dxa"/>
            <w:tcBorders/>
            <w:shd w:fill="FFFFFF" w:val="clear"/>
            <w:vAlign w:val="center"/>
          </w:tcPr>
          <w:p>
            <w:pPr>
              <w:pStyle w:val="TableContents"/>
              <w:bidi w:val="0"/>
              <w:spacing w:before="0" w:after="283"/>
              <w:jc w:val="right"/>
              <w:rPr>
                <w:sz w:val="20"/>
              </w:rPr>
            </w:pPr>
            <w:r>
              <w:rPr>
                <w:sz w:val="20"/>
              </w:rPr>
              <w:t>(13,071)</w:t>
            </w:r>
          </w:p>
        </w:tc>
        <w:tc>
          <w:tcPr>
            <w:tcW w:w="1533" w:type="dxa"/>
            <w:tcBorders/>
            <w:shd w:fill="FFFFFF" w:val="clear"/>
            <w:vAlign w:val="center"/>
          </w:tcPr>
          <w:p>
            <w:pPr>
              <w:pStyle w:val="TableContents"/>
              <w:bidi w:val="0"/>
              <w:spacing w:before="0" w:after="283"/>
              <w:jc w:val="right"/>
              <w:rPr>
                <w:sz w:val="20"/>
              </w:rPr>
            </w:pPr>
            <w:r>
              <w:rPr>
                <w:sz w:val="20"/>
              </w:rPr>
              <w:t>(9,224)</w:t>
            </w:r>
          </w:p>
        </w:tc>
        <w:tc>
          <w:tcPr>
            <w:tcW w:w="1505" w:type="dxa"/>
            <w:tcBorders/>
            <w:shd w:fill="FFFFFF" w:val="clear"/>
            <w:vAlign w:val="center"/>
          </w:tcPr>
          <w:p>
            <w:pPr>
              <w:pStyle w:val="TableContents"/>
              <w:bidi w:val="0"/>
              <w:spacing w:before="0" w:after="283"/>
              <w:jc w:val="right"/>
              <w:rPr>
                <w:sz w:val="20"/>
              </w:rPr>
            </w:pPr>
            <w:r>
              <w:rPr>
                <w:sz w:val="20"/>
              </w:rPr>
              <w:t>(22,324)</w:t>
            </w:r>
          </w:p>
        </w:tc>
        <w:tc>
          <w:tcPr>
            <w:tcW w:w="1343" w:type="dxa"/>
            <w:tcBorders/>
            <w:shd w:fill="FFFFFF" w:val="clear"/>
            <w:vAlign w:val="center"/>
          </w:tcPr>
          <w:p>
            <w:pPr>
              <w:pStyle w:val="TableContents"/>
              <w:bidi w:val="0"/>
              <w:spacing w:before="0" w:after="283"/>
              <w:jc w:val="right"/>
              <w:rPr>
                <w:sz w:val="20"/>
              </w:rPr>
            </w:pPr>
            <w:r>
              <w:rPr>
                <w:sz w:val="20"/>
              </w:rPr>
              <w:t>(19,160)</w:t>
            </w:r>
          </w:p>
        </w:tc>
      </w:tr>
      <w:tr>
        <w:trPr/>
        <w:tc>
          <w:tcPr>
            <w:tcW w:w="845" w:type="dxa"/>
            <w:tcBorders/>
            <w:shd w:fill="D5EAEA" w:val="clear"/>
            <w:vAlign w:val="center"/>
          </w:tcPr>
          <w:p>
            <w:pPr>
              <w:pStyle w:val="TableContents"/>
              <w:bidi w:val="0"/>
              <w:spacing w:before="0" w:after="283"/>
              <w:jc w:val="left"/>
              <w:rPr/>
            </w:pPr>
            <w:r>
              <w:rPr/>
              <w:t> </w:t>
            </w:r>
          </w:p>
        </w:tc>
        <w:tc>
          <w:tcPr>
            <w:tcW w:w="2961" w:type="dxa"/>
            <w:gridSpan w:val="2"/>
            <w:tcBorders/>
            <w:shd w:fill="D5EAEA" w:val="clear"/>
            <w:vAlign w:val="center"/>
          </w:tcPr>
          <w:p>
            <w:pPr>
              <w:pStyle w:val="TableContents"/>
              <w:bidi w:val="0"/>
              <w:spacing w:before="0" w:after="283"/>
              <w:jc w:val="left"/>
              <w:rPr>
                <w:sz w:val="20"/>
              </w:rPr>
            </w:pPr>
            <w:r>
              <w:rPr>
                <w:sz w:val="20"/>
              </w:rPr>
              <w:t>General and administrative expenses</w:t>
            </w:r>
          </w:p>
        </w:tc>
        <w:tc>
          <w:tcPr>
            <w:tcW w:w="485" w:type="dxa"/>
            <w:tcBorders/>
            <w:shd w:fill="D5EAEA" w:val="clear"/>
            <w:vAlign w:val="center"/>
          </w:tcPr>
          <w:p>
            <w:pPr>
              <w:pStyle w:val="TableContents"/>
              <w:bidi w:val="0"/>
              <w:spacing w:before="0" w:after="283"/>
              <w:jc w:val="center"/>
              <w:rPr>
                <w:sz w:val="20"/>
              </w:rPr>
            </w:pPr>
            <w:r>
              <w:rPr>
                <w:sz w:val="20"/>
              </w:rPr>
              <w:t>25</w:t>
            </w:r>
          </w:p>
        </w:tc>
        <w:tc>
          <w:tcPr>
            <w:tcW w:w="1533" w:type="dxa"/>
            <w:tcBorders/>
            <w:shd w:fill="D5EAEA" w:val="clear"/>
            <w:vAlign w:val="center"/>
          </w:tcPr>
          <w:p>
            <w:pPr>
              <w:pStyle w:val="TableContents"/>
              <w:bidi w:val="0"/>
              <w:spacing w:before="0" w:after="283"/>
              <w:jc w:val="right"/>
              <w:rPr>
                <w:sz w:val="20"/>
              </w:rPr>
            </w:pPr>
            <w:r>
              <w:rPr>
                <w:sz w:val="20"/>
              </w:rPr>
              <w:t>(16,854)</w:t>
            </w:r>
          </w:p>
        </w:tc>
        <w:tc>
          <w:tcPr>
            <w:tcW w:w="1533" w:type="dxa"/>
            <w:tcBorders/>
            <w:shd w:fill="D5EAEA" w:val="clear"/>
            <w:vAlign w:val="center"/>
          </w:tcPr>
          <w:p>
            <w:pPr>
              <w:pStyle w:val="TableContents"/>
              <w:bidi w:val="0"/>
              <w:spacing w:before="0" w:after="283"/>
              <w:jc w:val="right"/>
              <w:rPr>
                <w:sz w:val="20"/>
              </w:rPr>
            </w:pPr>
            <w:r>
              <w:rPr>
                <w:sz w:val="20"/>
              </w:rPr>
              <w:t>(11,683)</w:t>
            </w:r>
          </w:p>
        </w:tc>
        <w:tc>
          <w:tcPr>
            <w:tcW w:w="1505" w:type="dxa"/>
            <w:tcBorders/>
            <w:shd w:fill="D5EAEA" w:val="clear"/>
            <w:vAlign w:val="center"/>
          </w:tcPr>
          <w:p>
            <w:pPr>
              <w:pStyle w:val="TableContents"/>
              <w:bidi w:val="0"/>
              <w:spacing w:before="0" w:after="283"/>
              <w:jc w:val="right"/>
              <w:rPr>
                <w:sz w:val="20"/>
              </w:rPr>
            </w:pPr>
            <w:r>
              <w:rPr>
                <w:sz w:val="20"/>
              </w:rPr>
              <w:t>(31,847)</w:t>
            </w:r>
          </w:p>
        </w:tc>
        <w:tc>
          <w:tcPr>
            <w:tcW w:w="1343" w:type="dxa"/>
            <w:tcBorders/>
            <w:shd w:fill="D5EAEA" w:val="clear"/>
            <w:vAlign w:val="center"/>
          </w:tcPr>
          <w:p>
            <w:pPr>
              <w:pStyle w:val="TableContents"/>
              <w:bidi w:val="0"/>
              <w:spacing w:before="0" w:after="283"/>
              <w:jc w:val="right"/>
              <w:rPr>
                <w:sz w:val="20"/>
              </w:rPr>
            </w:pPr>
            <w:r>
              <w:rPr>
                <w:sz w:val="20"/>
              </w:rPr>
              <w:t>(23,728)</w:t>
            </w:r>
          </w:p>
        </w:tc>
      </w:tr>
      <w:tr>
        <w:trPr/>
        <w:tc>
          <w:tcPr>
            <w:tcW w:w="845" w:type="dxa"/>
            <w:tcBorders/>
            <w:shd w:fill="FFFFFF" w:val="clear"/>
            <w:vAlign w:val="center"/>
          </w:tcPr>
          <w:p>
            <w:pPr>
              <w:pStyle w:val="TableContents"/>
              <w:bidi w:val="0"/>
              <w:spacing w:before="0" w:after="283"/>
              <w:jc w:val="left"/>
              <w:rPr/>
            </w:pPr>
            <w:r>
              <w:rPr/>
              <w:t> </w:t>
            </w:r>
          </w:p>
        </w:tc>
        <w:tc>
          <w:tcPr>
            <w:tcW w:w="2961" w:type="dxa"/>
            <w:gridSpan w:val="2"/>
            <w:tcBorders/>
            <w:shd w:fill="FFFFFF" w:val="clear"/>
            <w:vAlign w:val="center"/>
          </w:tcPr>
          <w:p>
            <w:pPr>
              <w:pStyle w:val="TableContents"/>
              <w:bidi w:val="0"/>
              <w:spacing w:before="0" w:after="283"/>
              <w:jc w:val="left"/>
              <w:rPr>
                <w:sz w:val="20"/>
              </w:rPr>
            </w:pPr>
            <w:r>
              <w:rPr>
                <w:sz w:val="20"/>
              </w:rPr>
              <w:t>Other income</w:t>
            </w:r>
          </w:p>
        </w:tc>
        <w:tc>
          <w:tcPr>
            <w:tcW w:w="485" w:type="dxa"/>
            <w:tcBorders/>
            <w:shd w:fill="FFFFFF" w:val="clear"/>
            <w:vAlign w:val="center"/>
          </w:tcPr>
          <w:p>
            <w:pPr>
              <w:pStyle w:val="TableContents"/>
              <w:bidi w:val="0"/>
              <w:spacing w:before="0" w:after="283"/>
              <w:jc w:val="center"/>
              <w:rPr>
                <w:sz w:val="20"/>
              </w:rPr>
            </w:pPr>
            <w:r>
              <w:rPr>
                <w:sz w:val="20"/>
              </w:rPr>
              <w:t>26</w:t>
            </w:r>
          </w:p>
        </w:tc>
        <w:tc>
          <w:tcPr>
            <w:tcW w:w="1533" w:type="dxa"/>
            <w:tcBorders/>
            <w:shd w:fill="FFFFFF" w:val="clear"/>
            <w:vAlign w:val="center"/>
          </w:tcPr>
          <w:p>
            <w:pPr>
              <w:pStyle w:val="TableContents"/>
              <w:bidi w:val="0"/>
              <w:spacing w:before="0" w:after="283"/>
              <w:jc w:val="right"/>
              <w:rPr>
                <w:sz w:val="20"/>
              </w:rPr>
            </w:pPr>
            <w:r>
              <w:rPr>
                <w:sz w:val="20"/>
              </w:rPr>
              <w:t>10,330</w:t>
            </w:r>
          </w:p>
        </w:tc>
        <w:tc>
          <w:tcPr>
            <w:tcW w:w="1533" w:type="dxa"/>
            <w:tcBorders/>
            <w:shd w:fill="FFFFFF" w:val="clear"/>
            <w:vAlign w:val="center"/>
          </w:tcPr>
          <w:p>
            <w:pPr>
              <w:pStyle w:val="TableContents"/>
              <w:bidi w:val="0"/>
              <w:spacing w:before="0" w:after="283"/>
              <w:jc w:val="right"/>
              <w:rPr>
                <w:sz w:val="20"/>
              </w:rPr>
            </w:pPr>
            <w:r>
              <w:rPr>
                <w:sz w:val="20"/>
              </w:rPr>
              <w:t>1,990</w:t>
            </w:r>
          </w:p>
        </w:tc>
        <w:tc>
          <w:tcPr>
            <w:tcW w:w="1505" w:type="dxa"/>
            <w:tcBorders/>
            <w:shd w:fill="FFFFFF" w:val="clear"/>
            <w:vAlign w:val="center"/>
          </w:tcPr>
          <w:p>
            <w:pPr>
              <w:pStyle w:val="TableContents"/>
              <w:bidi w:val="0"/>
              <w:spacing w:before="0" w:after="283"/>
              <w:jc w:val="right"/>
              <w:rPr>
                <w:sz w:val="20"/>
              </w:rPr>
            </w:pPr>
            <w:r>
              <w:rPr>
                <w:sz w:val="20"/>
              </w:rPr>
              <w:t>14,402</w:t>
            </w:r>
          </w:p>
        </w:tc>
        <w:tc>
          <w:tcPr>
            <w:tcW w:w="1343" w:type="dxa"/>
            <w:tcBorders/>
            <w:shd w:fill="FFFFFF" w:val="clear"/>
            <w:vAlign w:val="center"/>
          </w:tcPr>
          <w:p>
            <w:pPr>
              <w:pStyle w:val="TableContents"/>
              <w:bidi w:val="0"/>
              <w:spacing w:before="0" w:after="283"/>
              <w:jc w:val="right"/>
              <w:rPr>
                <w:sz w:val="20"/>
              </w:rPr>
            </w:pPr>
            <w:r>
              <w:rPr>
                <w:sz w:val="20"/>
              </w:rPr>
              <w:t>6,028</w:t>
            </w:r>
          </w:p>
        </w:tc>
      </w:tr>
      <w:tr>
        <w:trPr/>
        <w:tc>
          <w:tcPr>
            <w:tcW w:w="845" w:type="dxa"/>
            <w:tcBorders/>
            <w:shd w:fill="D5EAEA" w:val="clear"/>
            <w:vAlign w:val="center"/>
          </w:tcPr>
          <w:p>
            <w:pPr>
              <w:pStyle w:val="TableContents"/>
              <w:bidi w:val="0"/>
              <w:spacing w:before="0" w:after="283"/>
              <w:jc w:val="left"/>
              <w:rPr/>
            </w:pPr>
            <w:r>
              <w:rPr/>
              <w:t> </w:t>
            </w:r>
          </w:p>
        </w:tc>
        <w:tc>
          <w:tcPr>
            <w:tcW w:w="2961" w:type="dxa"/>
            <w:gridSpan w:val="2"/>
            <w:tcBorders/>
            <w:shd w:fill="D5EAEA" w:val="clear"/>
            <w:vAlign w:val="center"/>
          </w:tcPr>
          <w:p>
            <w:pPr>
              <w:pStyle w:val="TableContents"/>
              <w:bidi w:val="0"/>
              <w:spacing w:before="0" w:after="283"/>
              <w:jc w:val="left"/>
              <w:rPr>
                <w:sz w:val="20"/>
              </w:rPr>
            </w:pPr>
            <w:r>
              <w:rPr>
                <w:sz w:val="20"/>
              </w:rPr>
              <w:t>Other expenses</w:t>
            </w:r>
          </w:p>
        </w:tc>
        <w:tc>
          <w:tcPr>
            <w:tcW w:w="485" w:type="dxa"/>
            <w:tcBorders/>
            <w:shd w:fill="D5EAEA" w:val="clear"/>
            <w:vAlign w:val="center"/>
          </w:tcPr>
          <w:p>
            <w:pPr>
              <w:pStyle w:val="TableContents"/>
              <w:bidi w:val="0"/>
              <w:spacing w:before="0" w:after="283"/>
              <w:jc w:val="center"/>
              <w:rPr>
                <w:sz w:val="20"/>
              </w:rPr>
            </w:pPr>
            <w:r>
              <w:rPr>
                <w:sz w:val="20"/>
              </w:rPr>
              <w:t>26</w:t>
            </w:r>
          </w:p>
        </w:tc>
        <w:tc>
          <w:tcPr>
            <w:tcW w:w="1533" w:type="dxa"/>
            <w:tcBorders/>
            <w:shd w:fill="D5EAEA" w:val="clear"/>
            <w:vAlign w:val="center"/>
          </w:tcPr>
          <w:p>
            <w:pPr>
              <w:pStyle w:val="TableContents"/>
              <w:bidi w:val="0"/>
              <w:spacing w:before="0" w:after="283"/>
              <w:jc w:val="right"/>
              <w:rPr>
                <w:sz w:val="20"/>
              </w:rPr>
            </w:pPr>
            <w:r>
              <w:rPr>
                <w:sz w:val="20"/>
              </w:rPr>
              <w:t>(4,191)</w:t>
            </w:r>
          </w:p>
        </w:tc>
        <w:tc>
          <w:tcPr>
            <w:tcW w:w="1533" w:type="dxa"/>
            <w:tcBorders/>
            <w:shd w:fill="D5EAEA" w:val="clear"/>
            <w:vAlign w:val="center"/>
          </w:tcPr>
          <w:p>
            <w:pPr>
              <w:pStyle w:val="TableContents"/>
              <w:bidi w:val="0"/>
              <w:spacing w:before="0" w:after="283"/>
              <w:jc w:val="right"/>
              <w:rPr>
                <w:sz w:val="20"/>
              </w:rPr>
            </w:pPr>
            <w:r>
              <w:rPr>
                <w:sz w:val="20"/>
              </w:rPr>
              <w:t>(2,711)</w:t>
            </w:r>
          </w:p>
        </w:tc>
        <w:tc>
          <w:tcPr>
            <w:tcW w:w="1505" w:type="dxa"/>
            <w:tcBorders/>
            <w:shd w:fill="D5EAEA" w:val="clear"/>
            <w:vAlign w:val="center"/>
          </w:tcPr>
          <w:p>
            <w:pPr>
              <w:pStyle w:val="TableContents"/>
              <w:bidi w:val="0"/>
              <w:spacing w:before="0" w:after="283"/>
              <w:jc w:val="right"/>
              <w:rPr>
                <w:sz w:val="20"/>
              </w:rPr>
            </w:pPr>
            <w:r>
              <w:rPr>
                <w:sz w:val="20"/>
              </w:rPr>
              <w:t>(7,193)</w:t>
            </w:r>
          </w:p>
        </w:tc>
        <w:tc>
          <w:tcPr>
            <w:tcW w:w="1343" w:type="dxa"/>
            <w:tcBorders/>
            <w:shd w:fill="D5EAEA" w:val="clear"/>
            <w:vAlign w:val="center"/>
          </w:tcPr>
          <w:p>
            <w:pPr>
              <w:pStyle w:val="TableContents"/>
              <w:bidi w:val="0"/>
              <w:spacing w:before="0" w:after="283"/>
              <w:jc w:val="right"/>
              <w:rPr>
                <w:sz w:val="20"/>
              </w:rPr>
            </w:pPr>
            <w:r>
              <w:rPr>
                <w:sz w:val="20"/>
              </w:rPr>
              <w:t>(4,996)</w:t>
            </w:r>
          </w:p>
        </w:tc>
      </w:tr>
      <w:tr>
        <w:trPr/>
        <w:tc>
          <w:tcPr>
            <w:tcW w:w="845" w:type="dxa"/>
            <w:tcBorders/>
            <w:shd w:fill="FFFFFF" w:val="clear"/>
            <w:vAlign w:val="center"/>
          </w:tcPr>
          <w:p>
            <w:pPr>
              <w:pStyle w:val="TableContents"/>
              <w:bidi w:val="0"/>
              <w:spacing w:before="0" w:after="283"/>
              <w:jc w:val="left"/>
              <w:rPr/>
            </w:pPr>
            <w:r>
              <w:rPr/>
              <w:t> </w:t>
            </w:r>
          </w:p>
        </w:tc>
        <w:tc>
          <w:tcPr>
            <w:tcW w:w="2961" w:type="dxa"/>
            <w:gridSpan w:val="2"/>
            <w:tcBorders/>
            <w:shd w:fill="FFFFFF" w:val="clear"/>
            <w:vAlign w:val="center"/>
          </w:tcPr>
          <w:p>
            <w:pPr>
              <w:pStyle w:val="TableContents"/>
              <w:bidi w:val="0"/>
              <w:spacing w:before="0" w:after="283"/>
              <w:jc w:val="left"/>
              <w:rPr>
                <w:sz w:val="20"/>
              </w:rPr>
            </w:pPr>
            <w:r>
              <w:rPr>
                <w:sz w:val="20"/>
              </w:rPr>
              <w:t>Finance income</w:t>
            </w:r>
          </w:p>
        </w:tc>
        <w:tc>
          <w:tcPr>
            <w:tcW w:w="485" w:type="dxa"/>
            <w:tcBorders/>
            <w:shd w:fill="FFFFFF" w:val="clear"/>
            <w:vAlign w:val="center"/>
          </w:tcPr>
          <w:p>
            <w:pPr>
              <w:pStyle w:val="TableContents"/>
              <w:bidi w:val="0"/>
              <w:spacing w:before="0" w:after="283"/>
              <w:jc w:val="center"/>
              <w:rPr>
                <w:sz w:val="20"/>
              </w:rPr>
            </w:pPr>
            <w:r>
              <w:rPr>
                <w:sz w:val="20"/>
              </w:rPr>
              <w:t>27</w:t>
            </w:r>
          </w:p>
        </w:tc>
        <w:tc>
          <w:tcPr>
            <w:tcW w:w="1533" w:type="dxa"/>
            <w:tcBorders/>
            <w:shd w:fill="FFFFFF" w:val="clear"/>
            <w:vAlign w:val="center"/>
          </w:tcPr>
          <w:p>
            <w:pPr>
              <w:pStyle w:val="TableContents"/>
              <w:bidi w:val="0"/>
              <w:spacing w:before="0" w:after="283"/>
              <w:jc w:val="right"/>
              <w:rPr>
                <w:sz w:val="20"/>
              </w:rPr>
            </w:pPr>
            <w:r>
              <w:rPr>
                <w:sz w:val="20"/>
              </w:rPr>
              <w:t>4,525</w:t>
            </w:r>
          </w:p>
        </w:tc>
        <w:tc>
          <w:tcPr>
            <w:tcW w:w="1533" w:type="dxa"/>
            <w:tcBorders/>
            <w:shd w:fill="FFFFFF" w:val="clear"/>
            <w:vAlign w:val="center"/>
          </w:tcPr>
          <w:p>
            <w:pPr>
              <w:pStyle w:val="TableContents"/>
              <w:bidi w:val="0"/>
              <w:spacing w:before="0" w:after="283"/>
              <w:jc w:val="right"/>
              <w:rPr>
                <w:sz w:val="20"/>
              </w:rPr>
            </w:pPr>
            <w:r>
              <w:rPr>
                <w:sz w:val="20"/>
              </w:rPr>
              <w:t>1,181</w:t>
            </w:r>
          </w:p>
        </w:tc>
        <w:tc>
          <w:tcPr>
            <w:tcW w:w="1505" w:type="dxa"/>
            <w:tcBorders/>
            <w:shd w:fill="FFFFFF" w:val="clear"/>
            <w:vAlign w:val="center"/>
          </w:tcPr>
          <w:p>
            <w:pPr>
              <w:pStyle w:val="TableContents"/>
              <w:bidi w:val="0"/>
              <w:spacing w:before="0" w:after="283"/>
              <w:jc w:val="right"/>
              <w:rPr>
                <w:sz w:val="20"/>
              </w:rPr>
            </w:pPr>
            <w:r>
              <w:rPr>
                <w:sz w:val="20"/>
              </w:rPr>
              <w:t>9,888</w:t>
            </w:r>
          </w:p>
        </w:tc>
        <w:tc>
          <w:tcPr>
            <w:tcW w:w="1343" w:type="dxa"/>
            <w:tcBorders/>
            <w:shd w:fill="FFFFFF" w:val="clear"/>
            <w:vAlign w:val="center"/>
          </w:tcPr>
          <w:p>
            <w:pPr>
              <w:pStyle w:val="TableContents"/>
              <w:bidi w:val="0"/>
              <w:spacing w:before="0" w:after="283"/>
              <w:jc w:val="right"/>
              <w:rPr>
                <w:sz w:val="20"/>
              </w:rPr>
            </w:pPr>
            <w:r>
              <w:rPr>
                <w:sz w:val="20"/>
              </w:rPr>
              <w:t>4,959</w:t>
            </w:r>
          </w:p>
        </w:tc>
      </w:tr>
      <w:tr>
        <w:trPr/>
        <w:tc>
          <w:tcPr>
            <w:tcW w:w="845" w:type="dxa"/>
            <w:tcBorders/>
            <w:shd w:fill="D5EAEA" w:val="clear"/>
            <w:vAlign w:val="center"/>
          </w:tcPr>
          <w:p>
            <w:pPr>
              <w:pStyle w:val="TableContents"/>
              <w:bidi w:val="0"/>
              <w:spacing w:before="0" w:after="283"/>
              <w:jc w:val="left"/>
              <w:rPr/>
            </w:pPr>
            <w:r>
              <w:rPr/>
              <w:t> </w:t>
            </w:r>
          </w:p>
        </w:tc>
        <w:tc>
          <w:tcPr>
            <w:tcW w:w="2961" w:type="dxa"/>
            <w:gridSpan w:val="2"/>
            <w:tcBorders/>
            <w:shd w:fill="D5EAEA" w:val="clear"/>
            <w:vAlign w:val="center"/>
          </w:tcPr>
          <w:p>
            <w:pPr>
              <w:pStyle w:val="TableContents"/>
              <w:bidi w:val="0"/>
              <w:spacing w:before="0" w:after="283"/>
              <w:jc w:val="left"/>
              <w:rPr>
                <w:sz w:val="20"/>
              </w:rPr>
            </w:pPr>
            <w:r>
              <w:rPr>
                <w:sz w:val="20"/>
              </w:rPr>
              <w:t>Finance expense</w:t>
            </w:r>
          </w:p>
        </w:tc>
        <w:tc>
          <w:tcPr>
            <w:tcW w:w="485" w:type="dxa"/>
            <w:tcBorders/>
            <w:shd w:fill="D5EAEA" w:val="clear"/>
            <w:vAlign w:val="center"/>
          </w:tcPr>
          <w:p>
            <w:pPr>
              <w:pStyle w:val="TableContents"/>
              <w:bidi w:val="0"/>
              <w:spacing w:before="0" w:after="283"/>
              <w:jc w:val="center"/>
              <w:rPr>
                <w:sz w:val="20"/>
              </w:rPr>
            </w:pPr>
            <w:r>
              <w:rPr>
                <w:sz w:val="20"/>
              </w:rPr>
              <w:t>27</w:t>
            </w:r>
          </w:p>
        </w:tc>
        <w:tc>
          <w:tcPr>
            <w:tcW w:w="1533" w:type="dxa"/>
            <w:tcBorders/>
            <w:shd w:fill="D5EAEA" w:val="clear"/>
            <w:vAlign w:val="center"/>
          </w:tcPr>
          <w:p>
            <w:pPr>
              <w:pStyle w:val="TableContents"/>
              <w:bidi w:val="0"/>
              <w:spacing w:before="0" w:after="283"/>
              <w:jc w:val="right"/>
              <w:rPr>
                <w:sz w:val="20"/>
              </w:rPr>
            </w:pPr>
            <w:r>
              <w:rPr>
                <w:sz w:val="20"/>
              </w:rPr>
              <w:t>(19,020)</w:t>
            </w:r>
          </w:p>
        </w:tc>
        <w:tc>
          <w:tcPr>
            <w:tcW w:w="1533" w:type="dxa"/>
            <w:tcBorders/>
            <w:shd w:fill="D5EAEA" w:val="clear"/>
            <w:vAlign w:val="center"/>
          </w:tcPr>
          <w:p>
            <w:pPr>
              <w:pStyle w:val="TableContents"/>
              <w:bidi w:val="0"/>
              <w:spacing w:before="0" w:after="283"/>
              <w:jc w:val="right"/>
              <w:rPr>
                <w:sz w:val="20"/>
              </w:rPr>
            </w:pPr>
            <w:r>
              <w:rPr>
                <w:sz w:val="20"/>
              </w:rPr>
              <w:t>(12,281)</w:t>
            </w:r>
          </w:p>
        </w:tc>
        <w:tc>
          <w:tcPr>
            <w:tcW w:w="1505" w:type="dxa"/>
            <w:tcBorders/>
            <w:shd w:fill="D5EAEA" w:val="clear"/>
            <w:vAlign w:val="center"/>
          </w:tcPr>
          <w:p>
            <w:pPr>
              <w:pStyle w:val="TableContents"/>
              <w:bidi w:val="0"/>
              <w:spacing w:before="0" w:after="283"/>
              <w:jc w:val="right"/>
              <w:rPr>
                <w:sz w:val="20"/>
              </w:rPr>
            </w:pPr>
            <w:r>
              <w:rPr>
                <w:sz w:val="20"/>
              </w:rPr>
              <w:t>(40,750)</w:t>
            </w:r>
          </w:p>
        </w:tc>
        <w:tc>
          <w:tcPr>
            <w:tcW w:w="1343" w:type="dxa"/>
            <w:tcBorders/>
            <w:shd w:fill="D5EAEA" w:val="clear"/>
            <w:vAlign w:val="center"/>
          </w:tcPr>
          <w:p>
            <w:pPr>
              <w:pStyle w:val="TableContents"/>
              <w:bidi w:val="0"/>
              <w:spacing w:before="0" w:after="283"/>
              <w:jc w:val="right"/>
              <w:rPr>
                <w:sz w:val="20"/>
              </w:rPr>
            </w:pPr>
            <w:r>
              <w:rPr>
                <w:sz w:val="20"/>
              </w:rPr>
              <w:t>(30,985)</w:t>
            </w:r>
          </w:p>
        </w:tc>
      </w:tr>
      <w:tr>
        <w:trPr/>
        <w:tc>
          <w:tcPr>
            <w:tcW w:w="845"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left"/>
              <w:rPr/>
            </w:pPr>
            <w:r>
              <w:rPr/>
              <w:t> </w:t>
            </w:r>
          </w:p>
        </w:tc>
        <w:tc>
          <w:tcPr>
            <w:tcW w:w="1478"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533" w:type="dxa"/>
            <w:tcBorders/>
            <w:shd w:fill="FFFFFF" w:val="clear"/>
            <w:vAlign w:val="center"/>
          </w:tcPr>
          <w:p>
            <w:pPr>
              <w:pStyle w:val="TableContents"/>
              <w:bidi w:val="0"/>
              <w:spacing w:before="0" w:after="283"/>
              <w:jc w:val="right"/>
              <w:rPr/>
            </w:pPr>
            <w:r>
              <w:rPr/>
              <w:t> </w:t>
            </w:r>
          </w:p>
        </w:tc>
        <w:tc>
          <w:tcPr>
            <w:tcW w:w="1533" w:type="dxa"/>
            <w:tcBorders/>
            <w:shd w:fill="FFFFFF" w:val="clear"/>
            <w:vAlign w:val="center"/>
          </w:tcPr>
          <w:p>
            <w:pPr>
              <w:pStyle w:val="TableContents"/>
              <w:bidi w:val="0"/>
              <w:spacing w:before="0" w:after="283"/>
              <w:jc w:val="right"/>
              <w:rPr/>
            </w:pPr>
            <w:r>
              <w:rPr/>
              <w:t> </w:t>
            </w:r>
          </w:p>
        </w:tc>
        <w:tc>
          <w:tcPr>
            <w:tcW w:w="1505" w:type="dxa"/>
            <w:tcBorders/>
            <w:shd w:fill="FFFFFF" w:val="clear"/>
            <w:vAlign w:val="center"/>
          </w:tcPr>
          <w:p>
            <w:pPr>
              <w:pStyle w:val="TableContents"/>
              <w:bidi w:val="0"/>
              <w:spacing w:before="0" w:after="283"/>
              <w:jc w:val="right"/>
              <w:rPr/>
            </w:pPr>
            <w:r>
              <w:rPr/>
              <w:t> </w:t>
            </w:r>
          </w:p>
        </w:tc>
        <w:tc>
          <w:tcPr>
            <w:tcW w:w="1343" w:type="dxa"/>
            <w:tcBorders/>
            <w:shd w:fill="FFFFFF" w:val="clear"/>
            <w:vAlign w:val="center"/>
          </w:tcPr>
          <w:p>
            <w:pPr>
              <w:pStyle w:val="TableContents"/>
              <w:bidi w:val="0"/>
              <w:spacing w:before="0" w:after="283"/>
              <w:jc w:val="right"/>
              <w:rPr/>
            </w:pPr>
            <w:r>
              <w:rPr/>
              <w:t> </w:t>
            </w:r>
          </w:p>
        </w:tc>
      </w:tr>
      <w:tr>
        <w:trPr/>
        <w:tc>
          <w:tcPr>
            <w:tcW w:w="3806" w:type="dxa"/>
            <w:gridSpan w:val="3"/>
            <w:tcBorders/>
            <w:shd w:fill="D5EAEA" w:val="clear"/>
            <w:vAlign w:val="center"/>
          </w:tcPr>
          <w:p>
            <w:pPr>
              <w:pStyle w:val="TableContents"/>
              <w:bidi w:val="0"/>
              <w:spacing w:before="0" w:after="283"/>
              <w:jc w:val="left"/>
              <w:rPr>
                <w:b/>
                <w:sz w:val="20"/>
              </w:rPr>
            </w:pPr>
            <w:r>
              <w:rPr>
                <w:b/>
                <w:sz w:val="20"/>
              </w:rPr>
              <w:t>Net income before income tax</w:t>
            </w:r>
          </w:p>
        </w:tc>
        <w:tc>
          <w:tcPr>
            <w:tcW w:w="485" w:type="dxa"/>
            <w:tcBorders/>
            <w:shd w:fill="D5EAEA" w:val="clear"/>
            <w:vAlign w:val="center"/>
          </w:tcPr>
          <w:p>
            <w:pPr>
              <w:pStyle w:val="TableContents"/>
              <w:bidi w:val="0"/>
              <w:spacing w:before="0" w:after="283"/>
              <w:jc w:val="center"/>
              <w:rPr/>
            </w:pPr>
            <w:r>
              <w:rPr/>
              <w:t> </w:t>
            </w:r>
          </w:p>
        </w:tc>
        <w:tc>
          <w:tcPr>
            <w:tcW w:w="1533"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16,881</w:t>
            </w:r>
          </w:p>
        </w:tc>
        <w:tc>
          <w:tcPr>
            <w:tcW w:w="1533"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14,950</w:t>
            </w:r>
          </w:p>
        </w:tc>
        <w:tc>
          <w:tcPr>
            <w:tcW w:w="150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26,111</w:t>
            </w:r>
          </w:p>
        </w:tc>
        <w:tc>
          <w:tcPr>
            <w:tcW w:w="1343"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29,554</w:t>
            </w:r>
          </w:p>
        </w:tc>
      </w:tr>
      <w:tr>
        <w:trPr/>
        <w:tc>
          <w:tcPr>
            <w:tcW w:w="845"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left"/>
              <w:rPr/>
            </w:pPr>
            <w:r>
              <w:rPr/>
              <w:t> </w:t>
            </w:r>
          </w:p>
        </w:tc>
        <w:tc>
          <w:tcPr>
            <w:tcW w:w="1478"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533" w:type="dxa"/>
            <w:tcBorders/>
            <w:shd w:fill="FFFFFF" w:val="clear"/>
            <w:vAlign w:val="center"/>
          </w:tcPr>
          <w:p>
            <w:pPr>
              <w:pStyle w:val="TableContents"/>
              <w:bidi w:val="0"/>
              <w:spacing w:before="0" w:after="283"/>
              <w:jc w:val="right"/>
              <w:rPr/>
            </w:pPr>
            <w:r>
              <w:rPr/>
              <w:t> </w:t>
            </w:r>
          </w:p>
        </w:tc>
        <w:tc>
          <w:tcPr>
            <w:tcW w:w="1533" w:type="dxa"/>
            <w:tcBorders/>
            <w:shd w:fill="FFFFFF" w:val="clear"/>
            <w:vAlign w:val="center"/>
          </w:tcPr>
          <w:p>
            <w:pPr>
              <w:pStyle w:val="TableContents"/>
              <w:bidi w:val="0"/>
              <w:spacing w:before="0" w:after="283"/>
              <w:jc w:val="right"/>
              <w:rPr/>
            </w:pPr>
            <w:r>
              <w:rPr/>
              <w:t> </w:t>
            </w:r>
          </w:p>
        </w:tc>
        <w:tc>
          <w:tcPr>
            <w:tcW w:w="1505" w:type="dxa"/>
            <w:tcBorders/>
            <w:shd w:fill="FFFFFF" w:val="clear"/>
            <w:vAlign w:val="center"/>
          </w:tcPr>
          <w:p>
            <w:pPr>
              <w:pStyle w:val="TableContents"/>
              <w:bidi w:val="0"/>
              <w:spacing w:before="0" w:after="283"/>
              <w:jc w:val="right"/>
              <w:rPr/>
            </w:pPr>
            <w:r>
              <w:rPr/>
              <w:t> </w:t>
            </w:r>
          </w:p>
        </w:tc>
        <w:tc>
          <w:tcPr>
            <w:tcW w:w="1343" w:type="dxa"/>
            <w:tcBorders/>
            <w:shd w:fill="FFFFFF" w:val="clear"/>
            <w:vAlign w:val="center"/>
          </w:tcPr>
          <w:p>
            <w:pPr>
              <w:pStyle w:val="TableContents"/>
              <w:bidi w:val="0"/>
              <w:spacing w:before="0" w:after="283"/>
              <w:jc w:val="right"/>
              <w:rPr/>
            </w:pPr>
            <w:r>
              <w:rPr/>
              <w:t> </w:t>
            </w:r>
          </w:p>
        </w:tc>
      </w:tr>
      <w:tr>
        <w:trPr/>
        <w:tc>
          <w:tcPr>
            <w:tcW w:w="845" w:type="dxa"/>
            <w:tcBorders/>
            <w:shd w:fill="D5EAEA" w:val="clear"/>
            <w:vAlign w:val="center"/>
          </w:tcPr>
          <w:p>
            <w:pPr>
              <w:pStyle w:val="TableContents"/>
              <w:bidi w:val="0"/>
              <w:spacing w:before="0" w:after="283"/>
              <w:jc w:val="left"/>
              <w:rPr/>
            </w:pPr>
            <w:r>
              <w:rPr/>
              <w:t> </w:t>
            </w:r>
          </w:p>
        </w:tc>
        <w:tc>
          <w:tcPr>
            <w:tcW w:w="2961" w:type="dxa"/>
            <w:gridSpan w:val="2"/>
            <w:tcBorders/>
            <w:shd w:fill="D5EAEA" w:val="clear"/>
            <w:vAlign w:val="center"/>
          </w:tcPr>
          <w:p>
            <w:pPr>
              <w:pStyle w:val="TableContents"/>
              <w:bidi w:val="0"/>
              <w:spacing w:before="0" w:after="283"/>
              <w:jc w:val="left"/>
              <w:rPr>
                <w:sz w:val="20"/>
              </w:rPr>
            </w:pPr>
            <w:r>
              <w:rPr>
                <w:sz w:val="20"/>
              </w:rPr>
              <w:t>Income tax (expense)/income</w:t>
            </w:r>
          </w:p>
        </w:tc>
        <w:tc>
          <w:tcPr>
            <w:tcW w:w="485" w:type="dxa"/>
            <w:tcBorders/>
            <w:shd w:fill="D5EAEA" w:val="clear"/>
            <w:vAlign w:val="center"/>
          </w:tcPr>
          <w:p>
            <w:pPr>
              <w:pStyle w:val="TableContents"/>
              <w:bidi w:val="0"/>
              <w:spacing w:before="0" w:after="283"/>
              <w:jc w:val="center"/>
              <w:rPr>
                <w:sz w:val="20"/>
              </w:rPr>
            </w:pPr>
            <w:r>
              <w:rPr>
                <w:sz w:val="20"/>
              </w:rPr>
              <w:t>28</w:t>
            </w:r>
          </w:p>
        </w:tc>
        <w:tc>
          <w:tcPr>
            <w:tcW w:w="1533" w:type="dxa"/>
            <w:tcBorders/>
            <w:shd w:fill="D5EAEA" w:val="clear"/>
            <w:vAlign w:val="center"/>
          </w:tcPr>
          <w:p>
            <w:pPr>
              <w:pStyle w:val="TableContents"/>
              <w:bidi w:val="0"/>
              <w:spacing w:before="0" w:after="283"/>
              <w:jc w:val="right"/>
              <w:rPr>
                <w:sz w:val="20"/>
              </w:rPr>
            </w:pPr>
            <w:r>
              <w:rPr>
                <w:sz w:val="20"/>
              </w:rPr>
              <w:t>(2,272)</w:t>
            </w:r>
          </w:p>
        </w:tc>
        <w:tc>
          <w:tcPr>
            <w:tcW w:w="1533" w:type="dxa"/>
            <w:tcBorders/>
            <w:shd w:fill="D5EAEA" w:val="clear"/>
            <w:vAlign w:val="center"/>
          </w:tcPr>
          <w:p>
            <w:pPr>
              <w:pStyle w:val="TableContents"/>
              <w:bidi w:val="0"/>
              <w:spacing w:before="0" w:after="283"/>
              <w:jc w:val="right"/>
              <w:rPr>
                <w:sz w:val="20"/>
              </w:rPr>
            </w:pPr>
            <w:r>
              <w:rPr>
                <w:sz w:val="20"/>
              </w:rPr>
              <w:t>(829)</w:t>
            </w:r>
          </w:p>
        </w:tc>
        <w:tc>
          <w:tcPr>
            <w:tcW w:w="1505" w:type="dxa"/>
            <w:tcBorders/>
            <w:shd w:fill="D5EAEA" w:val="clear"/>
            <w:vAlign w:val="center"/>
          </w:tcPr>
          <w:p>
            <w:pPr>
              <w:pStyle w:val="TableContents"/>
              <w:bidi w:val="0"/>
              <w:spacing w:before="0" w:after="283"/>
              <w:jc w:val="right"/>
              <w:rPr>
                <w:sz w:val="20"/>
              </w:rPr>
            </w:pPr>
            <w:r>
              <w:rPr>
                <w:sz w:val="20"/>
              </w:rPr>
              <w:t>(6,899)</w:t>
            </w:r>
          </w:p>
        </w:tc>
        <w:tc>
          <w:tcPr>
            <w:tcW w:w="1343" w:type="dxa"/>
            <w:tcBorders/>
            <w:shd w:fill="D5EAEA" w:val="clear"/>
            <w:vAlign w:val="center"/>
          </w:tcPr>
          <w:p>
            <w:pPr>
              <w:pStyle w:val="TableContents"/>
              <w:bidi w:val="0"/>
              <w:spacing w:before="0" w:after="283"/>
              <w:jc w:val="right"/>
              <w:rPr>
                <w:sz w:val="20"/>
              </w:rPr>
            </w:pPr>
            <w:r>
              <w:rPr>
                <w:sz w:val="20"/>
              </w:rPr>
              <w:t>1,125</w:t>
            </w:r>
          </w:p>
        </w:tc>
      </w:tr>
      <w:tr>
        <w:trPr/>
        <w:tc>
          <w:tcPr>
            <w:tcW w:w="845"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left"/>
              <w:rPr/>
            </w:pPr>
            <w:r>
              <w:rPr/>
              <w:t> </w:t>
            </w:r>
          </w:p>
        </w:tc>
        <w:tc>
          <w:tcPr>
            <w:tcW w:w="1478"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53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3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0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r>
      <w:tr>
        <w:trPr/>
        <w:tc>
          <w:tcPr>
            <w:tcW w:w="3806" w:type="dxa"/>
            <w:gridSpan w:val="3"/>
            <w:tcBorders/>
            <w:shd w:fill="D5EAEA" w:val="clear"/>
            <w:vAlign w:val="center"/>
          </w:tcPr>
          <w:p>
            <w:pPr>
              <w:pStyle w:val="TableContents"/>
              <w:bidi w:val="0"/>
              <w:spacing w:before="0" w:after="283"/>
              <w:jc w:val="left"/>
              <w:rPr>
                <w:b/>
                <w:sz w:val="20"/>
              </w:rPr>
            </w:pPr>
            <w:r>
              <w:rPr>
                <w:b/>
                <w:sz w:val="20"/>
              </w:rPr>
              <w:t>Net income for the period</w:t>
            </w:r>
          </w:p>
        </w:tc>
        <w:tc>
          <w:tcPr>
            <w:tcW w:w="485" w:type="dxa"/>
            <w:tcBorders/>
            <w:shd w:fill="D5EAEA" w:val="clear"/>
            <w:vAlign w:val="center"/>
          </w:tcPr>
          <w:p>
            <w:pPr>
              <w:pStyle w:val="TableContents"/>
              <w:bidi w:val="0"/>
              <w:spacing w:before="0" w:after="283"/>
              <w:jc w:val="center"/>
              <w:rPr/>
            </w:pPr>
            <w:r>
              <w:rPr/>
              <w:t> </w:t>
            </w:r>
          </w:p>
        </w:tc>
        <w:tc>
          <w:tcPr>
            <w:tcW w:w="1533"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14,609</w:t>
            </w:r>
          </w:p>
        </w:tc>
        <w:tc>
          <w:tcPr>
            <w:tcW w:w="1533"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14,121</w:t>
            </w:r>
          </w:p>
        </w:tc>
        <w:tc>
          <w:tcPr>
            <w:tcW w:w="150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19,212</w:t>
            </w:r>
          </w:p>
        </w:tc>
        <w:tc>
          <w:tcPr>
            <w:tcW w:w="1343"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30,679</w:t>
            </w:r>
          </w:p>
        </w:tc>
      </w:tr>
      <w:tr>
        <w:trPr/>
        <w:tc>
          <w:tcPr>
            <w:tcW w:w="845" w:type="dxa"/>
            <w:tcBorders/>
            <w:shd w:fill="FFFFFF" w:val="clear"/>
            <w:vAlign w:val="center"/>
          </w:tcPr>
          <w:p>
            <w:pPr>
              <w:pStyle w:val="TableContents"/>
              <w:bidi w:val="0"/>
              <w:spacing w:before="0" w:after="283"/>
              <w:jc w:val="left"/>
              <w:rPr/>
            </w:pPr>
            <w:r>
              <w:rPr/>
              <w:t> </w:t>
            </w:r>
          </w:p>
        </w:tc>
        <w:tc>
          <w:tcPr>
            <w:tcW w:w="2961" w:type="dxa"/>
            <w:gridSpan w:val="2"/>
            <w:tcBorders/>
            <w:shd w:fill="FFFFFF" w:val="clear"/>
            <w:vAlign w:val="center"/>
          </w:tcPr>
          <w:p>
            <w:pPr>
              <w:pStyle w:val="TableContents"/>
              <w:bidi w:val="0"/>
              <w:spacing w:before="0" w:after="283"/>
              <w:jc w:val="left"/>
              <w:rPr>
                <w:sz w:val="20"/>
              </w:rPr>
            </w:pPr>
            <w:r>
              <w:rPr>
                <w:sz w:val="20"/>
              </w:rPr>
              <w:t>Attributable to:</w:t>
            </w:r>
          </w:p>
        </w:tc>
        <w:tc>
          <w:tcPr>
            <w:tcW w:w="485" w:type="dxa"/>
            <w:tcBorders/>
            <w:shd w:fill="FFFFFF" w:val="clear"/>
            <w:vAlign w:val="center"/>
          </w:tcPr>
          <w:p>
            <w:pPr>
              <w:pStyle w:val="TableContents"/>
              <w:bidi w:val="0"/>
              <w:spacing w:before="0" w:after="283"/>
              <w:jc w:val="center"/>
              <w:rPr/>
            </w:pPr>
            <w:r>
              <w:rPr/>
              <w:t> </w:t>
            </w:r>
          </w:p>
        </w:tc>
        <w:tc>
          <w:tcPr>
            <w:tcW w:w="1533" w:type="dxa"/>
            <w:tcBorders/>
            <w:shd w:fill="FFFFFF" w:val="clear"/>
            <w:vAlign w:val="center"/>
          </w:tcPr>
          <w:p>
            <w:pPr>
              <w:pStyle w:val="TableContents"/>
              <w:bidi w:val="0"/>
              <w:spacing w:before="0" w:after="283"/>
              <w:jc w:val="right"/>
              <w:rPr/>
            </w:pPr>
            <w:r>
              <w:rPr/>
              <w:t> </w:t>
            </w:r>
          </w:p>
        </w:tc>
        <w:tc>
          <w:tcPr>
            <w:tcW w:w="1533" w:type="dxa"/>
            <w:tcBorders/>
            <w:shd w:fill="FFFFFF" w:val="clear"/>
            <w:vAlign w:val="center"/>
          </w:tcPr>
          <w:p>
            <w:pPr>
              <w:pStyle w:val="TableContents"/>
              <w:bidi w:val="0"/>
              <w:spacing w:before="0" w:after="283"/>
              <w:jc w:val="right"/>
              <w:rPr/>
            </w:pPr>
            <w:r>
              <w:rPr/>
              <w:t> </w:t>
            </w:r>
          </w:p>
        </w:tc>
        <w:tc>
          <w:tcPr>
            <w:tcW w:w="1505" w:type="dxa"/>
            <w:tcBorders/>
            <w:shd w:fill="FFFFFF" w:val="clear"/>
            <w:vAlign w:val="center"/>
          </w:tcPr>
          <w:p>
            <w:pPr>
              <w:pStyle w:val="TableContents"/>
              <w:bidi w:val="0"/>
              <w:spacing w:before="0" w:after="283"/>
              <w:jc w:val="right"/>
              <w:rPr/>
            </w:pPr>
            <w:r>
              <w:rPr/>
              <w:t> </w:t>
            </w:r>
          </w:p>
        </w:tc>
        <w:tc>
          <w:tcPr>
            <w:tcW w:w="1343" w:type="dxa"/>
            <w:tcBorders/>
            <w:shd w:fill="FFFFFF" w:val="clear"/>
            <w:vAlign w:val="center"/>
          </w:tcPr>
          <w:p>
            <w:pPr>
              <w:pStyle w:val="TableContents"/>
              <w:bidi w:val="0"/>
              <w:spacing w:before="0" w:after="283"/>
              <w:jc w:val="right"/>
              <w:rPr/>
            </w:pPr>
            <w:r>
              <w:rPr/>
              <w:t> </w:t>
            </w:r>
          </w:p>
        </w:tc>
      </w:tr>
      <w:tr>
        <w:trPr/>
        <w:tc>
          <w:tcPr>
            <w:tcW w:w="845" w:type="dxa"/>
            <w:tcBorders/>
            <w:shd w:fill="D5EAEA" w:val="clear"/>
            <w:vAlign w:val="center"/>
          </w:tcPr>
          <w:p>
            <w:pPr>
              <w:pStyle w:val="TableContents"/>
              <w:bidi w:val="0"/>
              <w:spacing w:before="0" w:after="283"/>
              <w:jc w:val="left"/>
              <w:rPr/>
            </w:pPr>
            <w:r>
              <w:rPr/>
              <w:t> </w:t>
            </w:r>
          </w:p>
        </w:tc>
        <w:tc>
          <w:tcPr>
            <w:tcW w:w="2961" w:type="dxa"/>
            <w:gridSpan w:val="2"/>
            <w:tcBorders/>
            <w:shd w:fill="D5EAEA" w:val="clear"/>
            <w:vAlign w:val="center"/>
          </w:tcPr>
          <w:p>
            <w:pPr>
              <w:pStyle w:val="TableContents"/>
              <w:bidi w:val="0"/>
              <w:spacing w:before="0" w:after="283"/>
              <w:jc w:val="left"/>
              <w:rPr>
                <w:sz w:val="20"/>
              </w:rPr>
            </w:pPr>
            <w:r>
              <w:rPr>
                <w:sz w:val="20"/>
              </w:rPr>
              <w:t>Owners of the Company</w:t>
            </w:r>
          </w:p>
        </w:tc>
        <w:tc>
          <w:tcPr>
            <w:tcW w:w="485" w:type="dxa"/>
            <w:tcBorders/>
            <w:shd w:fill="D5EAEA" w:val="clear"/>
            <w:vAlign w:val="center"/>
          </w:tcPr>
          <w:p>
            <w:pPr>
              <w:pStyle w:val="TableContents"/>
              <w:bidi w:val="0"/>
              <w:spacing w:before="0" w:after="283"/>
              <w:jc w:val="center"/>
              <w:rPr/>
            </w:pPr>
            <w:r>
              <w:rPr/>
              <w:t> </w:t>
            </w:r>
          </w:p>
        </w:tc>
        <w:tc>
          <w:tcPr>
            <w:tcW w:w="1533" w:type="dxa"/>
            <w:tcBorders/>
            <w:shd w:fill="D5EAEA" w:val="clear"/>
            <w:vAlign w:val="center"/>
          </w:tcPr>
          <w:p>
            <w:pPr>
              <w:pStyle w:val="TableContents"/>
              <w:bidi w:val="0"/>
              <w:spacing w:before="0" w:after="283"/>
              <w:jc w:val="right"/>
              <w:rPr>
                <w:sz w:val="20"/>
              </w:rPr>
            </w:pPr>
            <w:r>
              <w:rPr>
                <w:sz w:val="20"/>
              </w:rPr>
              <w:t>10,691</w:t>
            </w:r>
          </w:p>
        </w:tc>
        <w:tc>
          <w:tcPr>
            <w:tcW w:w="1533" w:type="dxa"/>
            <w:tcBorders/>
            <w:shd w:fill="D5EAEA" w:val="clear"/>
            <w:vAlign w:val="center"/>
          </w:tcPr>
          <w:p>
            <w:pPr>
              <w:pStyle w:val="TableContents"/>
              <w:bidi w:val="0"/>
              <w:spacing w:before="0" w:after="283"/>
              <w:jc w:val="right"/>
              <w:rPr>
                <w:sz w:val="20"/>
              </w:rPr>
            </w:pPr>
            <w:r>
              <w:rPr>
                <w:sz w:val="20"/>
              </w:rPr>
              <w:t>12,851</w:t>
            </w:r>
          </w:p>
        </w:tc>
        <w:tc>
          <w:tcPr>
            <w:tcW w:w="1505" w:type="dxa"/>
            <w:tcBorders/>
            <w:shd w:fill="D5EAEA" w:val="clear"/>
            <w:vAlign w:val="center"/>
          </w:tcPr>
          <w:p>
            <w:pPr>
              <w:pStyle w:val="TableContents"/>
              <w:bidi w:val="0"/>
              <w:spacing w:before="0" w:after="283"/>
              <w:jc w:val="right"/>
              <w:rPr>
                <w:sz w:val="20"/>
              </w:rPr>
            </w:pPr>
            <w:r>
              <w:rPr>
                <w:sz w:val="20"/>
              </w:rPr>
              <w:t>12,864</w:t>
            </w:r>
          </w:p>
        </w:tc>
        <w:tc>
          <w:tcPr>
            <w:tcW w:w="1343" w:type="dxa"/>
            <w:tcBorders/>
            <w:shd w:fill="D5EAEA" w:val="clear"/>
            <w:vAlign w:val="center"/>
          </w:tcPr>
          <w:p>
            <w:pPr>
              <w:pStyle w:val="TableContents"/>
              <w:bidi w:val="0"/>
              <w:spacing w:before="0" w:after="283"/>
              <w:jc w:val="right"/>
              <w:rPr>
                <w:sz w:val="20"/>
              </w:rPr>
            </w:pPr>
            <w:r>
              <w:rPr>
                <w:sz w:val="20"/>
              </w:rPr>
              <w:t>28,515</w:t>
            </w:r>
          </w:p>
        </w:tc>
      </w:tr>
      <w:tr>
        <w:trPr/>
        <w:tc>
          <w:tcPr>
            <w:tcW w:w="845" w:type="dxa"/>
            <w:tcBorders/>
            <w:shd w:fill="FFFFFF" w:val="clear"/>
            <w:vAlign w:val="center"/>
          </w:tcPr>
          <w:p>
            <w:pPr>
              <w:pStyle w:val="TableContents"/>
              <w:bidi w:val="0"/>
              <w:spacing w:before="0" w:after="283"/>
              <w:jc w:val="left"/>
              <w:rPr/>
            </w:pPr>
            <w:r>
              <w:rPr/>
              <w:t> </w:t>
            </w:r>
          </w:p>
        </w:tc>
        <w:tc>
          <w:tcPr>
            <w:tcW w:w="2961" w:type="dxa"/>
            <w:gridSpan w:val="2"/>
            <w:tcBorders/>
            <w:shd w:fill="FFFFFF" w:val="clear"/>
            <w:vAlign w:val="center"/>
          </w:tcPr>
          <w:p>
            <w:pPr>
              <w:pStyle w:val="TableContents"/>
              <w:bidi w:val="0"/>
              <w:spacing w:before="0" w:after="283"/>
              <w:jc w:val="left"/>
              <w:rPr>
                <w:sz w:val="20"/>
              </w:rPr>
            </w:pPr>
            <w:r>
              <w:rPr>
                <w:sz w:val="20"/>
              </w:rPr>
              <w:t>Non-controlling interests</w:t>
            </w:r>
          </w:p>
        </w:tc>
        <w:tc>
          <w:tcPr>
            <w:tcW w:w="485" w:type="dxa"/>
            <w:tcBorders/>
            <w:shd w:fill="FFFFFF" w:val="clear"/>
            <w:vAlign w:val="center"/>
          </w:tcPr>
          <w:p>
            <w:pPr>
              <w:pStyle w:val="TableContents"/>
              <w:bidi w:val="0"/>
              <w:spacing w:before="0" w:after="283"/>
              <w:jc w:val="center"/>
              <w:rPr>
                <w:sz w:val="20"/>
              </w:rPr>
            </w:pPr>
            <w:r>
              <w:rPr>
                <w:sz w:val="20"/>
              </w:rPr>
              <w:t>29(i)</w:t>
            </w:r>
          </w:p>
        </w:tc>
        <w:tc>
          <w:tcPr>
            <w:tcW w:w="1533" w:type="dxa"/>
            <w:tcBorders/>
            <w:shd w:fill="FFFFFF" w:val="clear"/>
            <w:vAlign w:val="center"/>
          </w:tcPr>
          <w:p>
            <w:pPr>
              <w:pStyle w:val="TableContents"/>
              <w:bidi w:val="0"/>
              <w:spacing w:before="0" w:after="283"/>
              <w:jc w:val="right"/>
              <w:rPr>
                <w:sz w:val="20"/>
              </w:rPr>
            </w:pPr>
            <w:r>
              <w:rPr>
                <w:sz w:val="20"/>
              </w:rPr>
              <w:t>3,918</w:t>
            </w:r>
          </w:p>
        </w:tc>
        <w:tc>
          <w:tcPr>
            <w:tcW w:w="1533" w:type="dxa"/>
            <w:tcBorders/>
            <w:shd w:fill="FFFFFF" w:val="clear"/>
            <w:vAlign w:val="center"/>
          </w:tcPr>
          <w:p>
            <w:pPr>
              <w:pStyle w:val="TableContents"/>
              <w:bidi w:val="0"/>
              <w:spacing w:before="0" w:after="283"/>
              <w:jc w:val="right"/>
              <w:rPr>
                <w:sz w:val="20"/>
              </w:rPr>
            </w:pPr>
            <w:r>
              <w:rPr>
                <w:sz w:val="20"/>
              </w:rPr>
              <w:t>1,270</w:t>
            </w:r>
          </w:p>
        </w:tc>
        <w:tc>
          <w:tcPr>
            <w:tcW w:w="1505" w:type="dxa"/>
            <w:tcBorders/>
            <w:shd w:fill="FFFFFF" w:val="clear"/>
            <w:vAlign w:val="center"/>
          </w:tcPr>
          <w:p>
            <w:pPr>
              <w:pStyle w:val="TableContents"/>
              <w:bidi w:val="0"/>
              <w:spacing w:before="0" w:after="283"/>
              <w:jc w:val="right"/>
              <w:rPr>
                <w:sz w:val="20"/>
              </w:rPr>
            </w:pPr>
            <w:r>
              <w:rPr>
                <w:sz w:val="20"/>
              </w:rPr>
              <w:t>6,348</w:t>
            </w:r>
          </w:p>
        </w:tc>
        <w:tc>
          <w:tcPr>
            <w:tcW w:w="1343" w:type="dxa"/>
            <w:tcBorders/>
            <w:shd w:fill="FFFFFF" w:val="clear"/>
            <w:vAlign w:val="center"/>
          </w:tcPr>
          <w:p>
            <w:pPr>
              <w:pStyle w:val="TableContents"/>
              <w:bidi w:val="0"/>
              <w:spacing w:before="0" w:after="283"/>
              <w:jc w:val="right"/>
              <w:rPr>
                <w:sz w:val="20"/>
              </w:rPr>
            </w:pPr>
            <w:r>
              <w:rPr>
                <w:sz w:val="20"/>
              </w:rPr>
              <w:t>2,164</w:t>
            </w:r>
          </w:p>
        </w:tc>
      </w:tr>
      <w:tr>
        <w:trPr/>
        <w:tc>
          <w:tcPr>
            <w:tcW w:w="845" w:type="dxa"/>
            <w:tcBorders/>
            <w:shd w:fill="D5EAEA" w:val="clear"/>
            <w:vAlign w:val="center"/>
          </w:tcPr>
          <w:p>
            <w:pPr>
              <w:pStyle w:val="TableContents"/>
              <w:bidi w:val="0"/>
              <w:spacing w:before="0" w:after="283"/>
              <w:jc w:val="left"/>
              <w:rPr/>
            </w:pPr>
            <w:r>
              <w:rPr/>
              <w:t> </w:t>
            </w:r>
          </w:p>
        </w:tc>
        <w:tc>
          <w:tcPr>
            <w:tcW w:w="1483" w:type="dxa"/>
            <w:tcBorders/>
            <w:shd w:fill="D5EAEA" w:val="clear"/>
            <w:vAlign w:val="center"/>
          </w:tcPr>
          <w:p>
            <w:pPr>
              <w:pStyle w:val="TableContents"/>
              <w:bidi w:val="0"/>
              <w:spacing w:before="0" w:after="283"/>
              <w:jc w:val="left"/>
              <w:rPr/>
            </w:pPr>
            <w:r>
              <w:rPr/>
              <w:t> </w:t>
            </w:r>
          </w:p>
        </w:tc>
        <w:tc>
          <w:tcPr>
            <w:tcW w:w="1478" w:type="dxa"/>
            <w:tcBorders/>
            <w:shd w:fill="D5EAEA" w:val="clear"/>
            <w:vAlign w:val="center"/>
          </w:tcPr>
          <w:p>
            <w:pPr>
              <w:pStyle w:val="TableContents"/>
              <w:bidi w:val="0"/>
              <w:spacing w:before="0" w:after="283"/>
              <w:jc w:val="left"/>
              <w:rPr/>
            </w:pPr>
            <w:r>
              <w:rPr/>
              <w:t> </w:t>
            </w:r>
          </w:p>
        </w:tc>
        <w:tc>
          <w:tcPr>
            <w:tcW w:w="485" w:type="dxa"/>
            <w:tcBorders/>
            <w:shd w:fill="D5EAEA" w:val="clear"/>
            <w:vAlign w:val="center"/>
          </w:tcPr>
          <w:p>
            <w:pPr>
              <w:pStyle w:val="TableContents"/>
              <w:bidi w:val="0"/>
              <w:spacing w:before="0" w:after="283"/>
              <w:jc w:val="center"/>
              <w:rPr/>
            </w:pPr>
            <w:r>
              <w:rPr/>
              <w:t> </w:t>
            </w:r>
          </w:p>
        </w:tc>
        <w:tc>
          <w:tcPr>
            <w:tcW w:w="1533" w:type="dxa"/>
            <w:tcBorders/>
            <w:shd w:fill="D5EAEA" w:val="clear"/>
            <w:vAlign w:val="center"/>
          </w:tcPr>
          <w:p>
            <w:pPr>
              <w:pStyle w:val="TableContents"/>
              <w:bidi w:val="0"/>
              <w:spacing w:before="0" w:after="283"/>
              <w:jc w:val="right"/>
              <w:rPr/>
            </w:pPr>
            <w:r>
              <w:rPr/>
              <w:t> </w:t>
            </w:r>
          </w:p>
        </w:tc>
        <w:tc>
          <w:tcPr>
            <w:tcW w:w="1533" w:type="dxa"/>
            <w:tcBorders/>
            <w:shd w:fill="D5EAEA" w:val="clear"/>
            <w:vAlign w:val="center"/>
          </w:tcPr>
          <w:p>
            <w:pPr>
              <w:pStyle w:val="TableContents"/>
              <w:bidi w:val="0"/>
              <w:spacing w:before="0" w:after="283"/>
              <w:jc w:val="right"/>
              <w:rPr/>
            </w:pPr>
            <w:r>
              <w:rPr/>
              <w:t> </w:t>
            </w:r>
          </w:p>
        </w:tc>
        <w:tc>
          <w:tcPr>
            <w:tcW w:w="1505" w:type="dxa"/>
            <w:tcBorders/>
            <w:shd w:fill="D5EAEA" w:val="clear"/>
            <w:vAlign w:val="center"/>
          </w:tcPr>
          <w:p>
            <w:pPr>
              <w:pStyle w:val="TableContents"/>
              <w:bidi w:val="0"/>
              <w:spacing w:before="0" w:after="283"/>
              <w:jc w:val="right"/>
              <w:rPr/>
            </w:pPr>
            <w:r>
              <w:rPr/>
              <w:t> </w:t>
            </w:r>
          </w:p>
        </w:tc>
        <w:tc>
          <w:tcPr>
            <w:tcW w:w="1343" w:type="dxa"/>
            <w:tcBorders/>
            <w:shd w:fill="D5EAEA" w:val="clear"/>
            <w:vAlign w:val="center"/>
          </w:tcPr>
          <w:p>
            <w:pPr>
              <w:pStyle w:val="TableContents"/>
              <w:bidi w:val="0"/>
              <w:spacing w:before="0" w:after="283"/>
              <w:jc w:val="right"/>
              <w:rPr/>
            </w:pPr>
            <w:r>
              <w:rPr/>
              <w:t> </w:t>
            </w:r>
          </w:p>
        </w:tc>
      </w:tr>
      <w:tr>
        <w:trPr/>
        <w:tc>
          <w:tcPr>
            <w:tcW w:w="3806" w:type="dxa"/>
            <w:gridSpan w:val="3"/>
            <w:tcBorders/>
            <w:shd w:fill="FFFFFF" w:val="clear"/>
            <w:vAlign w:val="center"/>
          </w:tcPr>
          <w:p>
            <w:pPr>
              <w:pStyle w:val="TableContents"/>
              <w:bidi w:val="0"/>
              <w:spacing w:before="0" w:after="283"/>
              <w:jc w:val="left"/>
              <w:rPr>
                <w:b/>
                <w:sz w:val="20"/>
              </w:rPr>
            </w:pPr>
            <w:r>
              <w:rPr>
                <w:b/>
                <w:sz w:val="20"/>
              </w:rPr>
              <w:t>Basic earnings per share</w:t>
            </w:r>
          </w:p>
        </w:tc>
        <w:tc>
          <w:tcPr>
            <w:tcW w:w="485" w:type="dxa"/>
            <w:tcBorders/>
            <w:shd w:fill="FFFFFF" w:val="clear"/>
            <w:vAlign w:val="center"/>
          </w:tcPr>
          <w:p>
            <w:pPr>
              <w:pStyle w:val="TableContents"/>
              <w:bidi w:val="0"/>
              <w:spacing w:before="0" w:after="283"/>
              <w:jc w:val="center"/>
              <w:rPr>
                <w:sz w:val="20"/>
              </w:rPr>
            </w:pPr>
            <w:r>
              <w:rPr>
                <w:sz w:val="20"/>
              </w:rPr>
              <w:t>29(e)</w:t>
            </w:r>
          </w:p>
        </w:tc>
        <w:tc>
          <w:tcPr>
            <w:tcW w:w="153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0.06624</w:t>
            </w:r>
          </w:p>
        </w:tc>
        <w:tc>
          <w:tcPr>
            <w:tcW w:w="153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0.08048</w:t>
            </w:r>
          </w:p>
        </w:tc>
        <w:tc>
          <w:tcPr>
            <w:tcW w:w="150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0.08031</w:t>
            </w:r>
          </w:p>
        </w:tc>
        <w:tc>
          <w:tcPr>
            <w:tcW w:w="134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0.17952</w:t>
            </w:r>
          </w:p>
        </w:tc>
      </w:tr>
      <w:tr>
        <w:trPr/>
        <w:tc>
          <w:tcPr>
            <w:tcW w:w="3806" w:type="dxa"/>
            <w:gridSpan w:val="3"/>
            <w:tcBorders/>
            <w:shd w:fill="D5EAEA" w:val="clear"/>
            <w:vAlign w:val="center"/>
          </w:tcPr>
          <w:p>
            <w:pPr>
              <w:pStyle w:val="TableContents"/>
              <w:bidi w:val="0"/>
              <w:spacing w:before="0" w:after="283"/>
              <w:jc w:val="left"/>
              <w:rPr>
                <w:b/>
                <w:sz w:val="20"/>
              </w:rPr>
            </w:pPr>
            <w:r>
              <w:rPr>
                <w:b/>
                <w:sz w:val="20"/>
              </w:rPr>
              <w:t>Diluted earnings per share</w:t>
            </w:r>
          </w:p>
        </w:tc>
        <w:tc>
          <w:tcPr>
            <w:tcW w:w="485" w:type="dxa"/>
            <w:tcBorders/>
            <w:shd w:fill="D5EAEA" w:val="clear"/>
            <w:vAlign w:val="center"/>
          </w:tcPr>
          <w:p>
            <w:pPr>
              <w:pStyle w:val="TableContents"/>
              <w:bidi w:val="0"/>
              <w:spacing w:before="0" w:after="283"/>
              <w:jc w:val="center"/>
              <w:rPr>
                <w:sz w:val="20"/>
              </w:rPr>
            </w:pPr>
            <w:r>
              <w:rPr>
                <w:sz w:val="20"/>
              </w:rPr>
              <w:t>29(e)</w:t>
            </w:r>
          </w:p>
        </w:tc>
        <w:tc>
          <w:tcPr>
            <w:tcW w:w="1533"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0.06517</w:t>
            </w:r>
          </w:p>
        </w:tc>
        <w:tc>
          <w:tcPr>
            <w:tcW w:w="1533"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0.07998</w:t>
            </w:r>
          </w:p>
        </w:tc>
        <w:tc>
          <w:tcPr>
            <w:tcW w:w="150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0.07913</w:t>
            </w:r>
          </w:p>
        </w:tc>
        <w:tc>
          <w:tcPr>
            <w:tcW w:w="1343"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0.17783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Patria Investments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Comprehensive Income (unaudited)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three and six-month periods ended June 30, 2026, and 2025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United States dollars - US$)</w:t>
      </w:r>
    </w:p>
    <w:p>
      <w:pPr>
        <w:pStyle w:val="TextBody"/>
        <w:bidi w:val="0"/>
        <w:spacing w:before="0" w:after="0"/>
        <w:ind w:left="0" w:right="0" w:hanging="0"/>
        <w:jc w:val="center"/>
        <w:rPr>
          <w:caps w:val="false"/>
          <w:smallCaps w:val="false"/>
        </w:rPr>
      </w:pPr>
      <w:r>
        <w:rPr>
          <w:caps w:val="false"/>
          <w:smallCaps w:val="false"/>
        </w:rPr>
        <w:t> </w:t>
      </w:r>
    </w:p>
    <w:tbl>
      <w:tblPr>
        <w:tblW w:w="10027" w:type="dxa"/>
        <w:jc w:val="left"/>
        <w:tblInd w:w="0" w:type="dxa"/>
        <w:tblLayout w:type="fixed"/>
        <w:tblCellMar>
          <w:top w:w="0" w:type="dxa"/>
          <w:left w:w="0" w:type="dxa"/>
          <w:bottom w:w="28" w:type="dxa"/>
          <w:right w:w="0" w:type="dxa"/>
        </w:tblCellMar>
      </w:tblPr>
      <w:tblGrid>
        <w:gridCol w:w="115"/>
        <w:gridCol w:w="3917"/>
        <w:gridCol w:w="182"/>
        <w:gridCol w:w="1528"/>
        <w:gridCol w:w="1491"/>
        <w:gridCol w:w="1382"/>
        <w:gridCol w:w="1412"/>
      </w:tblGrid>
      <w:tr>
        <w:trPr/>
        <w:tc>
          <w:tcPr>
            <w:tcW w:w="115" w:type="dxa"/>
            <w:tcBorders>
              <w:bottom w:val="single" w:sz="8" w:space="0" w:color="000000"/>
            </w:tcBorders>
            <w:vAlign w:val="center"/>
          </w:tcPr>
          <w:p>
            <w:pPr>
              <w:pStyle w:val="TableContents"/>
              <w:bidi w:val="0"/>
              <w:spacing w:before="0" w:after="283"/>
              <w:jc w:val="left"/>
              <w:rPr/>
            </w:pPr>
            <w:r>
              <w:rPr/>
              <w:t> </w:t>
            </w:r>
          </w:p>
        </w:tc>
        <w:tc>
          <w:tcPr>
            <w:tcW w:w="3917" w:type="dxa"/>
            <w:tcBorders>
              <w:bottom w:val="single" w:sz="8" w:space="0" w:color="000000"/>
            </w:tcBorders>
            <w:vAlign w:val="center"/>
          </w:tcPr>
          <w:p>
            <w:pPr>
              <w:pStyle w:val="TableContents"/>
              <w:bidi w:val="0"/>
              <w:spacing w:before="0" w:after="283"/>
              <w:jc w:val="left"/>
              <w:rPr/>
            </w:pPr>
            <w:r>
              <w:rPr/>
              <w:t> </w:t>
            </w:r>
          </w:p>
        </w:tc>
        <w:tc>
          <w:tcPr>
            <w:tcW w:w="182" w:type="dxa"/>
            <w:tcBorders>
              <w:bottom w:val="single" w:sz="8" w:space="0" w:color="000000"/>
            </w:tcBorders>
            <w:vAlign w:val="center"/>
          </w:tcPr>
          <w:p>
            <w:pPr>
              <w:pStyle w:val="TableContents"/>
              <w:bidi w:val="0"/>
              <w:spacing w:before="0" w:after="283"/>
              <w:jc w:val="center"/>
              <w:rPr/>
            </w:pPr>
            <w:r>
              <w:rPr/>
              <w:t> </w:t>
            </w:r>
          </w:p>
        </w:tc>
        <w:tc>
          <w:tcPr>
            <w:tcW w:w="3019" w:type="dxa"/>
            <w:gridSpan w:val="2"/>
            <w:tcBorders>
              <w:bottom w:val="single" w:sz="8" w:space="0" w:color="000000"/>
            </w:tcBorders>
            <w:vAlign w:val="center"/>
          </w:tcPr>
          <w:p>
            <w:pPr>
              <w:pStyle w:val="TableContents"/>
              <w:bidi w:val="0"/>
              <w:spacing w:before="0" w:after="283"/>
              <w:jc w:val="center"/>
              <w:rPr>
                <w:b/>
                <w:sz w:val="20"/>
              </w:rPr>
            </w:pPr>
            <w:r>
              <w:rPr>
                <w:b/>
                <w:sz w:val="20"/>
              </w:rPr>
              <w:t>Three-month period ended June 30,</w:t>
            </w:r>
          </w:p>
        </w:tc>
        <w:tc>
          <w:tcPr>
            <w:tcW w:w="2794" w:type="dxa"/>
            <w:gridSpan w:val="2"/>
            <w:tcBorders>
              <w:bottom w:val="single" w:sz="8" w:space="0" w:color="000000"/>
            </w:tcBorders>
            <w:vAlign w:val="center"/>
          </w:tcPr>
          <w:p>
            <w:pPr>
              <w:pStyle w:val="TableContents"/>
              <w:bidi w:val="0"/>
              <w:spacing w:before="0" w:after="283"/>
              <w:jc w:val="center"/>
              <w:rPr>
                <w:b/>
                <w:sz w:val="20"/>
              </w:rPr>
            </w:pPr>
            <w:r>
              <w:rPr>
                <w:b/>
                <w:sz w:val="20"/>
              </w:rPr>
              <w:t>Six-month period ended June 30,</w:t>
            </w:r>
          </w:p>
        </w:tc>
      </w:tr>
      <w:tr>
        <w:trPr/>
        <w:tc>
          <w:tcPr>
            <w:tcW w:w="115" w:type="dxa"/>
            <w:tcBorders>
              <w:bottom w:val="single" w:sz="8" w:space="0" w:color="000000"/>
            </w:tcBorders>
            <w:vAlign w:val="center"/>
          </w:tcPr>
          <w:p>
            <w:pPr>
              <w:pStyle w:val="TableContents"/>
              <w:bidi w:val="0"/>
              <w:spacing w:before="0" w:after="283"/>
              <w:jc w:val="left"/>
              <w:rPr/>
            </w:pPr>
            <w:r>
              <w:rPr/>
              <w:t> </w:t>
            </w:r>
          </w:p>
        </w:tc>
        <w:tc>
          <w:tcPr>
            <w:tcW w:w="3917" w:type="dxa"/>
            <w:tcBorders>
              <w:bottom w:val="single" w:sz="8" w:space="0" w:color="000000"/>
            </w:tcBorders>
            <w:vAlign w:val="center"/>
          </w:tcPr>
          <w:p>
            <w:pPr>
              <w:pStyle w:val="TableContents"/>
              <w:bidi w:val="0"/>
              <w:spacing w:before="0" w:after="283"/>
              <w:jc w:val="left"/>
              <w:rPr/>
            </w:pPr>
            <w:r>
              <w:rPr/>
              <w:t> </w:t>
            </w:r>
          </w:p>
        </w:tc>
        <w:tc>
          <w:tcPr>
            <w:tcW w:w="182" w:type="dxa"/>
            <w:tcBorders>
              <w:bottom w:val="single" w:sz="8" w:space="0" w:color="000000"/>
            </w:tcBorders>
            <w:vAlign w:val="center"/>
          </w:tcPr>
          <w:p>
            <w:pPr>
              <w:pStyle w:val="TableContents"/>
              <w:bidi w:val="0"/>
              <w:spacing w:before="0" w:after="283"/>
              <w:jc w:val="left"/>
              <w:rPr/>
            </w:pPr>
            <w:r>
              <w:rPr/>
              <w:t> </w:t>
            </w:r>
          </w:p>
        </w:tc>
        <w:tc>
          <w:tcPr>
            <w:tcW w:w="1528" w:type="dxa"/>
            <w:tcBorders>
              <w:bottom w:val="single" w:sz="8" w:space="0" w:color="000000"/>
            </w:tcBorders>
            <w:vAlign w:val="center"/>
          </w:tcPr>
          <w:p>
            <w:pPr>
              <w:pStyle w:val="TableContents"/>
              <w:bidi w:val="0"/>
              <w:spacing w:before="0" w:after="283"/>
              <w:jc w:val="center"/>
              <w:rPr>
                <w:b/>
                <w:sz w:val="20"/>
              </w:rPr>
            </w:pPr>
            <w:r>
              <w:rPr>
                <w:b/>
                <w:sz w:val="20"/>
              </w:rPr>
              <w:t>2026</w:t>
            </w:r>
          </w:p>
        </w:tc>
        <w:tc>
          <w:tcPr>
            <w:tcW w:w="1491" w:type="dxa"/>
            <w:tcBorders>
              <w:bottom w:val="single" w:sz="8" w:space="0" w:color="000000"/>
            </w:tcBorders>
            <w:vAlign w:val="center"/>
          </w:tcPr>
          <w:p>
            <w:pPr>
              <w:pStyle w:val="TableContents"/>
              <w:bidi w:val="0"/>
              <w:spacing w:before="0" w:after="283"/>
              <w:jc w:val="center"/>
              <w:rPr>
                <w:b/>
                <w:sz w:val="20"/>
              </w:rPr>
            </w:pPr>
            <w:r>
              <w:rPr>
                <w:b/>
                <w:sz w:val="20"/>
              </w:rPr>
              <w:t>2025</w:t>
            </w:r>
          </w:p>
        </w:tc>
        <w:tc>
          <w:tcPr>
            <w:tcW w:w="1382" w:type="dxa"/>
            <w:tcBorders>
              <w:bottom w:val="single" w:sz="8" w:space="0" w:color="000000"/>
            </w:tcBorders>
            <w:vAlign w:val="center"/>
          </w:tcPr>
          <w:p>
            <w:pPr>
              <w:pStyle w:val="TableContents"/>
              <w:bidi w:val="0"/>
              <w:spacing w:before="0" w:after="283"/>
              <w:jc w:val="center"/>
              <w:rPr>
                <w:b/>
                <w:sz w:val="20"/>
              </w:rPr>
            </w:pPr>
            <w:r>
              <w:rPr>
                <w:b/>
                <w:sz w:val="20"/>
              </w:rPr>
              <w:t>2026</w:t>
            </w:r>
          </w:p>
        </w:tc>
        <w:tc>
          <w:tcPr>
            <w:tcW w:w="1412" w:type="dxa"/>
            <w:tcBorders>
              <w:bottom w:val="single" w:sz="8" w:space="0" w:color="000000"/>
            </w:tcBorders>
            <w:vAlign w:val="center"/>
          </w:tcPr>
          <w:p>
            <w:pPr>
              <w:pStyle w:val="TableContents"/>
              <w:bidi w:val="0"/>
              <w:spacing w:before="0" w:after="283"/>
              <w:jc w:val="center"/>
              <w:rPr>
                <w:b/>
                <w:sz w:val="20"/>
              </w:rPr>
            </w:pPr>
            <w:r>
              <w:rPr>
                <w:b/>
                <w:sz w:val="20"/>
              </w:rPr>
              <w:t>2025</w:t>
            </w:r>
          </w:p>
        </w:tc>
      </w:tr>
      <w:tr>
        <w:trPr/>
        <w:tc>
          <w:tcPr>
            <w:tcW w:w="115" w:type="dxa"/>
            <w:tcBorders/>
            <w:tcMar>
              <w:bottom w:w="0" w:type="dxa"/>
            </w:tcMar>
            <w:vAlign w:val="center"/>
          </w:tcPr>
          <w:p>
            <w:pPr>
              <w:pStyle w:val="TableContents"/>
              <w:bidi w:val="0"/>
              <w:spacing w:before="0" w:after="283"/>
              <w:jc w:val="left"/>
              <w:rPr/>
            </w:pPr>
            <w:r>
              <w:rPr/>
              <w:t> </w:t>
            </w:r>
          </w:p>
        </w:tc>
        <w:tc>
          <w:tcPr>
            <w:tcW w:w="3917" w:type="dxa"/>
            <w:tcBorders/>
            <w:tcMar>
              <w:bottom w:w="0" w:type="dxa"/>
            </w:tcMar>
            <w:vAlign w:val="center"/>
          </w:tcPr>
          <w:p>
            <w:pPr>
              <w:pStyle w:val="TableContents"/>
              <w:bidi w:val="0"/>
              <w:spacing w:before="0" w:after="283"/>
              <w:jc w:val="left"/>
              <w:rPr/>
            </w:pPr>
            <w:r>
              <w:rPr/>
              <w:t> </w:t>
            </w:r>
          </w:p>
        </w:tc>
        <w:tc>
          <w:tcPr>
            <w:tcW w:w="182" w:type="dxa"/>
            <w:tcBorders/>
            <w:tcMar>
              <w:bottom w:w="0" w:type="dxa"/>
            </w:tcMar>
            <w:vAlign w:val="center"/>
          </w:tcPr>
          <w:p>
            <w:pPr>
              <w:pStyle w:val="TableContents"/>
              <w:bidi w:val="0"/>
              <w:spacing w:before="0" w:after="283"/>
              <w:jc w:val="left"/>
              <w:rPr/>
            </w:pPr>
            <w:r>
              <w:rPr/>
              <w:t> </w:t>
            </w:r>
          </w:p>
        </w:tc>
        <w:tc>
          <w:tcPr>
            <w:tcW w:w="1528" w:type="dxa"/>
            <w:tcBorders/>
            <w:tcMar>
              <w:bottom w:w="0" w:type="dxa"/>
            </w:tcMar>
            <w:vAlign w:val="center"/>
          </w:tcPr>
          <w:p>
            <w:pPr>
              <w:pStyle w:val="TableContents"/>
              <w:bidi w:val="0"/>
              <w:spacing w:before="0" w:after="283"/>
              <w:jc w:val="left"/>
              <w:rPr/>
            </w:pPr>
            <w:r>
              <w:rPr/>
              <w:t> </w:t>
            </w:r>
          </w:p>
        </w:tc>
        <w:tc>
          <w:tcPr>
            <w:tcW w:w="1491"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center"/>
              <w:rPr/>
            </w:pPr>
            <w:r>
              <w:rPr/>
              <w:t> </w:t>
            </w:r>
          </w:p>
        </w:tc>
        <w:tc>
          <w:tcPr>
            <w:tcW w:w="1412" w:type="dxa"/>
            <w:tcBorders/>
            <w:tcMar>
              <w:bottom w:w="0" w:type="dxa"/>
            </w:tcMar>
            <w:vAlign w:val="center"/>
          </w:tcPr>
          <w:p>
            <w:pPr>
              <w:pStyle w:val="TableContents"/>
              <w:bidi w:val="0"/>
              <w:spacing w:before="0" w:after="283"/>
              <w:jc w:val="center"/>
              <w:rPr/>
            </w:pPr>
            <w:r>
              <w:rPr/>
              <w:t> </w:t>
            </w:r>
          </w:p>
        </w:tc>
      </w:tr>
      <w:tr>
        <w:trPr/>
        <w:tc>
          <w:tcPr>
            <w:tcW w:w="4214" w:type="dxa"/>
            <w:gridSpan w:val="3"/>
            <w:tcBorders/>
            <w:shd w:fill="D5EAEA" w:val="clear"/>
            <w:tcMar>
              <w:bottom w:w="0" w:type="dxa"/>
            </w:tcMar>
            <w:vAlign w:val="center"/>
          </w:tcPr>
          <w:p>
            <w:pPr>
              <w:pStyle w:val="TableContents"/>
              <w:bidi w:val="0"/>
              <w:spacing w:before="0" w:after="283"/>
              <w:jc w:val="left"/>
              <w:rPr>
                <w:b/>
                <w:sz w:val="20"/>
              </w:rPr>
            </w:pPr>
            <w:r>
              <w:rPr>
                <w:b/>
                <w:sz w:val="20"/>
              </w:rPr>
              <w:t>Net income for the period</w:t>
            </w:r>
          </w:p>
        </w:tc>
        <w:tc>
          <w:tcPr>
            <w:tcW w:w="1528" w:type="dxa"/>
            <w:tcBorders/>
            <w:shd w:fill="D5EAEA" w:val="clear"/>
            <w:tcMar>
              <w:bottom w:w="0" w:type="dxa"/>
            </w:tcMar>
            <w:vAlign w:val="center"/>
          </w:tcPr>
          <w:p>
            <w:pPr>
              <w:pStyle w:val="TableContents"/>
              <w:bidi w:val="0"/>
              <w:spacing w:before="0" w:after="283"/>
              <w:jc w:val="right"/>
              <w:rPr>
                <w:b/>
                <w:sz w:val="20"/>
              </w:rPr>
            </w:pPr>
            <w:r>
              <w:rPr>
                <w:b/>
                <w:sz w:val="20"/>
              </w:rPr>
              <w:t>14,609</w:t>
            </w:r>
          </w:p>
        </w:tc>
        <w:tc>
          <w:tcPr>
            <w:tcW w:w="1491" w:type="dxa"/>
            <w:tcBorders/>
            <w:shd w:fill="D5EAEA" w:val="clear"/>
            <w:tcMar>
              <w:bottom w:w="0" w:type="dxa"/>
            </w:tcMar>
            <w:vAlign w:val="center"/>
          </w:tcPr>
          <w:p>
            <w:pPr>
              <w:pStyle w:val="TableContents"/>
              <w:bidi w:val="0"/>
              <w:spacing w:before="0" w:after="283"/>
              <w:jc w:val="right"/>
              <w:rPr>
                <w:b/>
                <w:sz w:val="20"/>
              </w:rPr>
            </w:pPr>
            <w:r>
              <w:rPr>
                <w:b/>
                <w:sz w:val="20"/>
              </w:rPr>
              <w:t>14,121</w:t>
            </w:r>
          </w:p>
        </w:tc>
        <w:tc>
          <w:tcPr>
            <w:tcW w:w="1382" w:type="dxa"/>
            <w:tcBorders/>
            <w:shd w:fill="D5EAEA" w:val="clear"/>
            <w:tcMar>
              <w:bottom w:w="0" w:type="dxa"/>
            </w:tcMar>
            <w:vAlign w:val="center"/>
          </w:tcPr>
          <w:p>
            <w:pPr>
              <w:pStyle w:val="TableContents"/>
              <w:bidi w:val="0"/>
              <w:spacing w:before="0" w:after="283"/>
              <w:jc w:val="right"/>
              <w:rPr>
                <w:b/>
                <w:sz w:val="20"/>
              </w:rPr>
            </w:pPr>
            <w:r>
              <w:rPr>
                <w:b/>
                <w:sz w:val="20"/>
              </w:rPr>
              <w:t>19,212</w:t>
            </w:r>
          </w:p>
        </w:tc>
        <w:tc>
          <w:tcPr>
            <w:tcW w:w="1412" w:type="dxa"/>
            <w:tcBorders/>
            <w:shd w:fill="D5EAEA" w:val="clear"/>
            <w:tcMar>
              <w:bottom w:w="0" w:type="dxa"/>
            </w:tcMar>
            <w:vAlign w:val="center"/>
          </w:tcPr>
          <w:p>
            <w:pPr>
              <w:pStyle w:val="TableContents"/>
              <w:bidi w:val="0"/>
              <w:spacing w:before="0" w:after="283"/>
              <w:jc w:val="right"/>
              <w:rPr>
                <w:b/>
                <w:sz w:val="20"/>
              </w:rPr>
            </w:pPr>
            <w:r>
              <w:rPr>
                <w:b/>
                <w:sz w:val="20"/>
              </w:rPr>
              <w:t>30,679</w:t>
            </w:r>
          </w:p>
        </w:tc>
      </w:tr>
      <w:tr>
        <w:trPr/>
        <w:tc>
          <w:tcPr>
            <w:tcW w:w="115" w:type="dxa"/>
            <w:tcBorders/>
            <w:shd w:fill="FFFFFF" w:val="clear"/>
            <w:tcMar>
              <w:bottom w:w="0" w:type="dxa"/>
            </w:tcMar>
            <w:vAlign w:val="center"/>
          </w:tcPr>
          <w:p>
            <w:pPr>
              <w:pStyle w:val="TableContents"/>
              <w:bidi w:val="0"/>
              <w:spacing w:before="0" w:after="283"/>
              <w:jc w:val="left"/>
              <w:rPr/>
            </w:pPr>
            <w:r>
              <w:rPr/>
              <w:t> </w:t>
            </w:r>
          </w:p>
        </w:tc>
        <w:tc>
          <w:tcPr>
            <w:tcW w:w="4099" w:type="dxa"/>
            <w:gridSpan w:val="2"/>
            <w:tcBorders/>
            <w:shd w:fill="FFFFFF" w:val="clear"/>
            <w:tcMar>
              <w:bottom w:w="0" w:type="dxa"/>
            </w:tcMar>
            <w:vAlign w:val="center"/>
          </w:tcPr>
          <w:p>
            <w:pPr>
              <w:pStyle w:val="TableContents"/>
              <w:bidi w:val="0"/>
              <w:spacing w:before="0" w:after="283"/>
              <w:jc w:val="left"/>
              <w:rPr>
                <w:i/>
                <w:sz w:val="20"/>
              </w:rPr>
            </w:pPr>
            <w:r>
              <w:rPr>
                <w:i/>
                <w:sz w:val="20"/>
              </w:rPr>
              <w:t>Items that are or may be reclassified to net income</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1491" w:type="dxa"/>
            <w:tcBorders/>
            <w:shd w:fill="FFFFFF" w:val="clear"/>
            <w:tcMar>
              <w:bottom w:w="0" w:type="dxa"/>
            </w:tcMar>
            <w:vAlign w:val="center"/>
          </w:tcPr>
          <w:p>
            <w:pPr>
              <w:pStyle w:val="TableContents"/>
              <w:bidi w:val="0"/>
              <w:spacing w:before="0" w:after="283"/>
              <w:jc w:val="right"/>
              <w:rPr/>
            </w:pPr>
            <w:r>
              <w:rPr/>
              <w:t> </w:t>
            </w:r>
          </w:p>
        </w:tc>
        <w:tc>
          <w:tcPr>
            <w:tcW w:w="1382" w:type="dxa"/>
            <w:tcBorders/>
            <w:shd w:fill="FFFFFF" w:val="clear"/>
            <w:tcMar>
              <w:bottom w:w="0" w:type="dxa"/>
            </w:tcMar>
            <w:vAlign w:val="center"/>
          </w:tcPr>
          <w:p>
            <w:pPr>
              <w:pStyle w:val="TableContents"/>
              <w:bidi w:val="0"/>
              <w:spacing w:before="0" w:after="283"/>
              <w:jc w:val="right"/>
              <w:rPr/>
            </w:pPr>
            <w:r>
              <w:rPr/>
              <w:t> </w:t>
            </w:r>
          </w:p>
        </w:tc>
        <w:tc>
          <w:tcPr>
            <w:tcW w:w="1412" w:type="dxa"/>
            <w:tcBorders/>
            <w:shd w:fill="FFFFFF" w:val="clear"/>
            <w:tcMar>
              <w:bottom w:w="0" w:type="dxa"/>
            </w:tcMar>
            <w:vAlign w:val="center"/>
          </w:tcPr>
          <w:p>
            <w:pPr>
              <w:pStyle w:val="TableContents"/>
              <w:bidi w:val="0"/>
              <w:spacing w:before="0" w:after="283"/>
              <w:jc w:val="right"/>
              <w:rPr/>
            </w:pPr>
            <w:r>
              <w:rPr/>
              <w:t> </w:t>
            </w:r>
          </w:p>
        </w:tc>
      </w:tr>
      <w:tr>
        <w:trPr/>
        <w:tc>
          <w:tcPr>
            <w:tcW w:w="115" w:type="dxa"/>
            <w:tcBorders/>
            <w:shd w:fill="D5EAEA" w:val="clear"/>
            <w:tcMar>
              <w:bottom w:w="0" w:type="dxa"/>
            </w:tcMar>
            <w:vAlign w:val="center"/>
          </w:tcPr>
          <w:p>
            <w:pPr>
              <w:pStyle w:val="TableContents"/>
              <w:bidi w:val="0"/>
              <w:spacing w:before="0" w:after="283"/>
              <w:jc w:val="left"/>
              <w:rPr/>
            </w:pPr>
            <w:r>
              <w:rPr/>
              <w:t> </w:t>
            </w:r>
          </w:p>
        </w:tc>
        <w:tc>
          <w:tcPr>
            <w:tcW w:w="4099" w:type="dxa"/>
            <w:gridSpan w:val="2"/>
            <w:tcBorders/>
            <w:shd w:fill="D5EAEA" w:val="clear"/>
            <w:tcMar>
              <w:bottom w:w="0" w:type="dxa"/>
            </w:tcMar>
            <w:vAlign w:val="center"/>
          </w:tcPr>
          <w:p>
            <w:pPr>
              <w:pStyle w:val="TableContents"/>
              <w:bidi w:val="0"/>
              <w:spacing w:before="0" w:after="283"/>
              <w:jc w:val="left"/>
              <w:rPr>
                <w:sz w:val="20"/>
              </w:rPr>
            </w:pPr>
            <w:r>
              <w:rPr>
                <w:sz w:val="20"/>
              </w:rPr>
              <w:t>Currency translation adjustment</w:t>
            </w:r>
          </w:p>
        </w:tc>
        <w:tc>
          <w:tcPr>
            <w:tcW w:w="1528" w:type="dxa"/>
            <w:tcBorders/>
            <w:shd w:fill="D5EAEA" w:val="clear"/>
            <w:tcMar>
              <w:bottom w:w="0" w:type="dxa"/>
            </w:tcMar>
            <w:vAlign w:val="center"/>
          </w:tcPr>
          <w:p>
            <w:pPr>
              <w:pStyle w:val="TableContents"/>
              <w:bidi w:val="0"/>
              <w:spacing w:before="0" w:after="283"/>
              <w:jc w:val="right"/>
              <w:rPr>
                <w:sz w:val="20"/>
              </w:rPr>
            </w:pPr>
            <w:r>
              <w:rPr>
                <w:sz w:val="20"/>
              </w:rPr>
              <w:t>(4,593)</w:t>
            </w:r>
          </w:p>
        </w:tc>
        <w:tc>
          <w:tcPr>
            <w:tcW w:w="1491" w:type="dxa"/>
            <w:tcBorders/>
            <w:shd w:fill="D5EAEA" w:val="clear"/>
            <w:tcMar>
              <w:bottom w:w="0" w:type="dxa"/>
            </w:tcMar>
            <w:vAlign w:val="center"/>
          </w:tcPr>
          <w:p>
            <w:pPr>
              <w:pStyle w:val="TableContents"/>
              <w:bidi w:val="0"/>
              <w:spacing w:before="0" w:after="283"/>
              <w:jc w:val="right"/>
              <w:rPr>
                <w:sz w:val="20"/>
              </w:rPr>
            </w:pPr>
            <w:r>
              <w:rPr>
                <w:sz w:val="20"/>
              </w:rPr>
              <w:t>16,178</w:t>
            </w:r>
          </w:p>
        </w:tc>
        <w:tc>
          <w:tcPr>
            <w:tcW w:w="1382" w:type="dxa"/>
            <w:tcBorders/>
            <w:shd w:fill="D5EAEA" w:val="clear"/>
            <w:tcMar>
              <w:bottom w:w="0" w:type="dxa"/>
            </w:tcMar>
            <w:vAlign w:val="center"/>
          </w:tcPr>
          <w:p>
            <w:pPr>
              <w:pStyle w:val="TableContents"/>
              <w:bidi w:val="0"/>
              <w:spacing w:before="0" w:after="283"/>
              <w:jc w:val="right"/>
              <w:rPr>
                <w:sz w:val="20"/>
              </w:rPr>
            </w:pPr>
            <w:r>
              <w:rPr>
                <w:sz w:val="20"/>
              </w:rPr>
              <w:t>(930)</w:t>
            </w:r>
          </w:p>
        </w:tc>
        <w:tc>
          <w:tcPr>
            <w:tcW w:w="1412" w:type="dxa"/>
            <w:tcBorders/>
            <w:shd w:fill="D5EAEA" w:val="clear"/>
            <w:tcMar>
              <w:bottom w:w="0" w:type="dxa"/>
            </w:tcMar>
            <w:vAlign w:val="center"/>
          </w:tcPr>
          <w:p>
            <w:pPr>
              <w:pStyle w:val="TableContents"/>
              <w:bidi w:val="0"/>
              <w:spacing w:before="0" w:after="283"/>
              <w:jc w:val="right"/>
              <w:rPr>
                <w:sz w:val="20"/>
              </w:rPr>
            </w:pPr>
            <w:r>
              <w:rPr>
                <w:sz w:val="20"/>
              </w:rPr>
              <w:t>43,707</w:t>
            </w:r>
          </w:p>
        </w:tc>
      </w:tr>
      <w:tr>
        <w:trPr/>
        <w:tc>
          <w:tcPr>
            <w:tcW w:w="115" w:type="dxa"/>
            <w:tcBorders/>
            <w:shd w:fill="FFFFFF" w:val="clear"/>
            <w:tcMar>
              <w:bottom w:w="0" w:type="dxa"/>
            </w:tcMar>
            <w:vAlign w:val="center"/>
          </w:tcPr>
          <w:p>
            <w:pPr>
              <w:pStyle w:val="TableContents"/>
              <w:bidi w:val="0"/>
              <w:spacing w:before="0" w:after="283"/>
              <w:jc w:val="left"/>
              <w:rPr/>
            </w:pPr>
            <w:r>
              <w:rPr/>
              <w:t> </w:t>
            </w:r>
          </w:p>
        </w:tc>
        <w:tc>
          <w:tcPr>
            <w:tcW w:w="3917"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1491" w:type="dxa"/>
            <w:tcBorders/>
            <w:shd w:fill="FFFFFF" w:val="clear"/>
            <w:tcMar>
              <w:bottom w:w="0" w:type="dxa"/>
            </w:tcMar>
            <w:vAlign w:val="center"/>
          </w:tcPr>
          <w:p>
            <w:pPr>
              <w:pStyle w:val="TableContents"/>
              <w:bidi w:val="0"/>
              <w:spacing w:before="0" w:after="283"/>
              <w:jc w:val="right"/>
              <w:rPr/>
            </w:pPr>
            <w:r>
              <w:rPr/>
              <w:t> </w:t>
            </w:r>
          </w:p>
        </w:tc>
        <w:tc>
          <w:tcPr>
            <w:tcW w:w="1382" w:type="dxa"/>
            <w:tcBorders/>
            <w:shd w:fill="FFFFFF" w:val="clear"/>
            <w:tcMar>
              <w:bottom w:w="0" w:type="dxa"/>
            </w:tcMar>
            <w:vAlign w:val="center"/>
          </w:tcPr>
          <w:p>
            <w:pPr>
              <w:pStyle w:val="TableContents"/>
              <w:bidi w:val="0"/>
              <w:spacing w:before="0" w:after="283"/>
              <w:jc w:val="right"/>
              <w:rPr/>
            </w:pPr>
            <w:r>
              <w:rPr/>
              <w:t> </w:t>
            </w:r>
          </w:p>
        </w:tc>
        <w:tc>
          <w:tcPr>
            <w:tcW w:w="1412" w:type="dxa"/>
            <w:tcBorders/>
            <w:shd w:fill="FFFFFF" w:val="clear"/>
            <w:tcMar>
              <w:bottom w:w="0" w:type="dxa"/>
            </w:tcMar>
            <w:vAlign w:val="center"/>
          </w:tcPr>
          <w:p>
            <w:pPr>
              <w:pStyle w:val="TableContents"/>
              <w:bidi w:val="0"/>
              <w:spacing w:before="0" w:after="283"/>
              <w:jc w:val="right"/>
              <w:rPr/>
            </w:pPr>
            <w:r>
              <w:rPr/>
              <w:t> </w:t>
            </w:r>
          </w:p>
        </w:tc>
      </w:tr>
      <w:tr>
        <w:trPr/>
        <w:tc>
          <w:tcPr>
            <w:tcW w:w="4214" w:type="dxa"/>
            <w:gridSpan w:val="3"/>
            <w:tcBorders/>
            <w:shd w:fill="D5EAEA" w:val="clear"/>
            <w:tcMar>
              <w:bottom w:w="0" w:type="dxa"/>
            </w:tcMar>
            <w:vAlign w:val="center"/>
          </w:tcPr>
          <w:p>
            <w:pPr>
              <w:pStyle w:val="TableContents"/>
              <w:bidi w:val="0"/>
              <w:spacing w:before="0" w:after="283"/>
              <w:jc w:val="left"/>
              <w:rPr>
                <w:b/>
                <w:sz w:val="20"/>
              </w:rPr>
            </w:pPr>
            <w:r>
              <w:rPr>
                <w:b/>
                <w:sz w:val="20"/>
              </w:rPr>
              <w:t>Total comprehensive income</w:t>
            </w:r>
          </w:p>
        </w:tc>
        <w:tc>
          <w:tcPr>
            <w:tcW w:w="1528" w:type="dxa"/>
            <w:tcBorders/>
            <w:shd w:fill="D5EAEA" w:val="clear"/>
            <w:tcMar>
              <w:bottom w:w="0" w:type="dxa"/>
            </w:tcMar>
            <w:vAlign w:val="center"/>
          </w:tcPr>
          <w:p>
            <w:pPr>
              <w:pStyle w:val="TableContents"/>
              <w:bidi w:val="0"/>
              <w:spacing w:before="0" w:after="283"/>
              <w:jc w:val="right"/>
              <w:rPr>
                <w:b/>
                <w:sz w:val="20"/>
              </w:rPr>
            </w:pPr>
            <w:r>
              <w:rPr>
                <w:b/>
                <w:sz w:val="20"/>
              </w:rPr>
              <w:t>10,016</w:t>
            </w:r>
          </w:p>
        </w:tc>
        <w:tc>
          <w:tcPr>
            <w:tcW w:w="1491" w:type="dxa"/>
            <w:tcBorders/>
            <w:shd w:fill="D5EAEA" w:val="clear"/>
            <w:tcMar>
              <w:bottom w:w="0" w:type="dxa"/>
            </w:tcMar>
            <w:vAlign w:val="center"/>
          </w:tcPr>
          <w:p>
            <w:pPr>
              <w:pStyle w:val="TableContents"/>
              <w:bidi w:val="0"/>
              <w:spacing w:before="0" w:after="283"/>
              <w:jc w:val="right"/>
              <w:rPr>
                <w:b/>
                <w:sz w:val="20"/>
              </w:rPr>
            </w:pPr>
            <w:r>
              <w:rPr>
                <w:b/>
                <w:sz w:val="20"/>
              </w:rPr>
              <w:t>30,299</w:t>
            </w:r>
          </w:p>
        </w:tc>
        <w:tc>
          <w:tcPr>
            <w:tcW w:w="1382" w:type="dxa"/>
            <w:tcBorders/>
            <w:shd w:fill="D5EAEA" w:val="clear"/>
            <w:tcMar>
              <w:bottom w:w="0" w:type="dxa"/>
            </w:tcMar>
            <w:vAlign w:val="center"/>
          </w:tcPr>
          <w:p>
            <w:pPr>
              <w:pStyle w:val="TableContents"/>
              <w:bidi w:val="0"/>
              <w:spacing w:before="0" w:after="283"/>
              <w:jc w:val="right"/>
              <w:rPr>
                <w:b/>
              </w:rPr>
            </w:pPr>
            <w:r>
              <w:rPr>
                <w:b/>
              </w:rPr>
              <w:t>18,282</w:t>
            </w:r>
          </w:p>
        </w:tc>
        <w:tc>
          <w:tcPr>
            <w:tcW w:w="1412" w:type="dxa"/>
            <w:tcBorders/>
            <w:shd w:fill="D5EAEA" w:val="clear"/>
            <w:tcMar>
              <w:bottom w:w="0" w:type="dxa"/>
            </w:tcMar>
            <w:vAlign w:val="center"/>
          </w:tcPr>
          <w:p>
            <w:pPr>
              <w:pStyle w:val="TableContents"/>
              <w:bidi w:val="0"/>
              <w:spacing w:before="0" w:after="283"/>
              <w:jc w:val="right"/>
              <w:rPr>
                <w:b/>
              </w:rPr>
            </w:pPr>
            <w:r>
              <w:rPr>
                <w:b/>
              </w:rPr>
              <w:t>74,386</w:t>
            </w:r>
          </w:p>
        </w:tc>
      </w:tr>
      <w:tr>
        <w:trPr/>
        <w:tc>
          <w:tcPr>
            <w:tcW w:w="115" w:type="dxa"/>
            <w:tcBorders/>
            <w:shd w:fill="FFFFFF" w:val="clear"/>
            <w:tcMar>
              <w:bottom w:w="0" w:type="dxa"/>
            </w:tcMar>
            <w:vAlign w:val="center"/>
          </w:tcPr>
          <w:p>
            <w:pPr>
              <w:pStyle w:val="TableContents"/>
              <w:bidi w:val="0"/>
              <w:spacing w:before="0" w:after="283"/>
              <w:jc w:val="left"/>
              <w:rPr/>
            </w:pPr>
            <w:r>
              <w:rPr/>
              <w:t> </w:t>
            </w:r>
          </w:p>
        </w:tc>
        <w:tc>
          <w:tcPr>
            <w:tcW w:w="3917" w:type="dxa"/>
            <w:tcBorders/>
            <w:shd w:fill="FFFFFF" w:val="clear"/>
            <w:tcMar>
              <w:bottom w:w="0" w:type="dxa"/>
            </w:tcMar>
            <w:vAlign w:val="center"/>
          </w:tcPr>
          <w:p>
            <w:pPr>
              <w:pStyle w:val="TableContents"/>
              <w:bidi w:val="0"/>
              <w:spacing w:before="0" w:after="283"/>
              <w:jc w:val="left"/>
              <w:rPr>
                <w:sz w:val="20"/>
              </w:rPr>
            </w:pPr>
            <w:r>
              <w:rPr>
                <w:sz w:val="20"/>
              </w:rPr>
              <w:t>Attributable to:</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1491" w:type="dxa"/>
            <w:tcBorders/>
            <w:shd w:fill="FFFFFF" w:val="clear"/>
            <w:tcMar>
              <w:bottom w:w="0" w:type="dxa"/>
            </w:tcMar>
            <w:vAlign w:val="center"/>
          </w:tcPr>
          <w:p>
            <w:pPr>
              <w:pStyle w:val="TableContents"/>
              <w:bidi w:val="0"/>
              <w:spacing w:before="0" w:after="283"/>
              <w:jc w:val="right"/>
              <w:rPr/>
            </w:pPr>
            <w:r>
              <w:rPr/>
              <w:t> </w:t>
            </w:r>
          </w:p>
        </w:tc>
        <w:tc>
          <w:tcPr>
            <w:tcW w:w="1382" w:type="dxa"/>
            <w:tcBorders/>
            <w:shd w:fill="FFFFFF" w:val="clear"/>
            <w:tcMar>
              <w:bottom w:w="0" w:type="dxa"/>
            </w:tcMar>
            <w:vAlign w:val="center"/>
          </w:tcPr>
          <w:p>
            <w:pPr>
              <w:pStyle w:val="TableContents"/>
              <w:bidi w:val="0"/>
              <w:spacing w:before="0" w:after="283"/>
              <w:jc w:val="right"/>
              <w:rPr/>
            </w:pPr>
            <w:r>
              <w:rPr/>
              <w:t> </w:t>
            </w:r>
          </w:p>
        </w:tc>
        <w:tc>
          <w:tcPr>
            <w:tcW w:w="1412" w:type="dxa"/>
            <w:tcBorders/>
            <w:shd w:fill="FFFFFF" w:val="clear"/>
            <w:tcMar>
              <w:bottom w:w="0" w:type="dxa"/>
            </w:tcMar>
            <w:vAlign w:val="center"/>
          </w:tcPr>
          <w:p>
            <w:pPr>
              <w:pStyle w:val="TableContents"/>
              <w:bidi w:val="0"/>
              <w:spacing w:before="0" w:after="283"/>
              <w:jc w:val="right"/>
              <w:rPr/>
            </w:pPr>
            <w:r>
              <w:rPr/>
              <w:t> </w:t>
            </w:r>
          </w:p>
        </w:tc>
      </w:tr>
      <w:tr>
        <w:trPr/>
        <w:tc>
          <w:tcPr>
            <w:tcW w:w="115" w:type="dxa"/>
            <w:tcBorders/>
            <w:shd w:fill="D5EAEA" w:val="clear"/>
            <w:tcMar>
              <w:bottom w:w="0" w:type="dxa"/>
            </w:tcMar>
            <w:vAlign w:val="center"/>
          </w:tcPr>
          <w:p>
            <w:pPr>
              <w:pStyle w:val="TableContents"/>
              <w:bidi w:val="0"/>
              <w:spacing w:before="0" w:after="283"/>
              <w:jc w:val="left"/>
              <w:rPr/>
            </w:pPr>
            <w:r>
              <w:rPr/>
              <w:t> </w:t>
            </w:r>
          </w:p>
        </w:tc>
        <w:tc>
          <w:tcPr>
            <w:tcW w:w="4099" w:type="dxa"/>
            <w:gridSpan w:val="2"/>
            <w:tcBorders/>
            <w:shd w:fill="D5EAEA" w:val="clear"/>
            <w:tcMar>
              <w:bottom w:w="0" w:type="dxa"/>
            </w:tcMar>
            <w:vAlign w:val="center"/>
          </w:tcPr>
          <w:p>
            <w:pPr>
              <w:pStyle w:val="TableContents"/>
              <w:bidi w:val="0"/>
              <w:spacing w:before="0" w:after="283"/>
              <w:jc w:val="left"/>
              <w:rPr>
                <w:sz w:val="20"/>
              </w:rPr>
            </w:pPr>
            <w:r>
              <w:rPr>
                <w:sz w:val="20"/>
              </w:rPr>
              <w:t>Owners of the Company</w:t>
            </w:r>
          </w:p>
        </w:tc>
        <w:tc>
          <w:tcPr>
            <w:tcW w:w="1528" w:type="dxa"/>
            <w:tcBorders/>
            <w:shd w:fill="D5EAEA" w:val="clear"/>
            <w:tcMar>
              <w:bottom w:w="0" w:type="dxa"/>
            </w:tcMar>
            <w:vAlign w:val="center"/>
          </w:tcPr>
          <w:p>
            <w:pPr>
              <w:pStyle w:val="TableContents"/>
              <w:bidi w:val="0"/>
              <w:spacing w:before="0" w:after="283"/>
              <w:jc w:val="right"/>
              <w:rPr>
                <w:sz w:val="20"/>
              </w:rPr>
            </w:pPr>
            <w:r>
              <w:rPr>
                <w:sz w:val="20"/>
              </w:rPr>
              <w:t>(315)</w:t>
            </w:r>
          </w:p>
        </w:tc>
        <w:tc>
          <w:tcPr>
            <w:tcW w:w="1491" w:type="dxa"/>
            <w:tcBorders/>
            <w:shd w:fill="D5EAEA" w:val="clear"/>
            <w:tcMar>
              <w:bottom w:w="0" w:type="dxa"/>
            </w:tcMar>
            <w:vAlign w:val="center"/>
          </w:tcPr>
          <w:p>
            <w:pPr>
              <w:pStyle w:val="TableContents"/>
              <w:bidi w:val="0"/>
              <w:spacing w:before="0" w:after="283"/>
              <w:jc w:val="right"/>
              <w:rPr>
                <w:sz w:val="20"/>
              </w:rPr>
            </w:pPr>
            <w:r>
              <w:rPr>
                <w:sz w:val="20"/>
              </w:rPr>
              <w:t>30,785</w:t>
            </w:r>
          </w:p>
        </w:tc>
        <w:tc>
          <w:tcPr>
            <w:tcW w:w="1382" w:type="dxa"/>
            <w:tcBorders/>
            <w:shd w:fill="D5EAEA" w:val="clear"/>
            <w:tcMar>
              <w:bottom w:w="0" w:type="dxa"/>
            </w:tcMar>
            <w:vAlign w:val="center"/>
          </w:tcPr>
          <w:p>
            <w:pPr>
              <w:pStyle w:val="TableContents"/>
              <w:bidi w:val="0"/>
              <w:spacing w:before="0" w:after="283"/>
              <w:jc w:val="right"/>
              <w:rPr>
                <w:sz w:val="20"/>
              </w:rPr>
            </w:pPr>
            <w:r>
              <w:rPr>
                <w:sz w:val="20"/>
              </w:rPr>
              <w:t>8,745</w:t>
            </w:r>
          </w:p>
        </w:tc>
        <w:tc>
          <w:tcPr>
            <w:tcW w:w="1412" w:type="dxa"/>
            <w:tcBorders/>
            <w:shd w:fill="D5EAEA" w:val="clear"/>
            <w:tcMar>
              <w:bottom w:w="0" w:type="dxa"/>
            </w:tcMar>
            <w:vAlign w:val="center"/>
          </w:tcPr>
          <w:p>
            <w:pPr>
              <w:pStyle w:val="TableContents"/>
              <w:bidi w:val="0"/>
              <w:spacing w:before="0" w:after="283"/>
              <w:jc w:val="right"/>
              <w:rPr>
                <w:sz w:val="20"/>
              </w:rPr>
            </w:pPr>
            <w:r>
              <w:rPr>
                <w:sz w:val="20"/>
              </w:rPr>
              <w:t>74,082</w:t>
            </w:r>
          </w:p>
        </w:tc>
      </w:tr>
      <w:tr>
        <w:trPr/>
        <w:tc>
          <w:tcPr>
            <w:tcW w:w="115" w:type="dxa"/>
            <w:tcBorders/>
            <w:shd w:fill="FFFFFF" w:val="clear"/>
            <w:tcMar>
              <w:bottom w:w="0" w:type="dxa"/>
            </w:tcMar>
            <w:vAlign w:val="center"/>
          </w:tcPr>
          <w:p>
            <w:pPr>
              <w:pStyle w:val="TableContents"/>
              <w:bidi w:val="0"/>
              <w:spacing w:before="0" w:after="283"/>
              <w:jc w:val="left"/>
              <w:rPr/>
            </w:pPr>
            <w:r>
              <w:rPr/>
              <w:t> </w:t>
            </w:r>
          </w:p>
        </w:tc>
        <w:tc>
          <w:tcPr>
            <w:tcW w:w="4099" w:type="dxa"/>
            <w:gridSpan w:val="2"/>
            <w:tcBorders/>
            <w:shd w:fill="FFFFFF" w:val="clear"/>
            <w:tcMar>
              <w:bottom w:w="0" w:type="dxa"/>
            </w:tcMar>
            <w:vAlign w:val="center"/>
          </w:tcPr>
          <w:p>
            <w:pPr>
              <w:pStyle w:val="TableContents"/>
              <w:bidi w:val="0"/>
              <w:spacing w:before="0" w:after="283"/>
              <w:jc w:val="left"/>
              <w:rPr>
                <w:sz w:val="20"/>
              </w:rPr>
            </w:pPr>
            <w:r>
              <w:rPr>
                <w:sz w:val="20"/>
              </w:rPr>
              <w:t>Non-controlling interests</w:t>
            </w:r>
          </w:p>
        </w:tc>
        <w:tc>
          <w:tcPr>
            <w:tcW w:w="1528" w:type="dxa"/>
            <w:tcBorders/>
            <w:shd w:fill="FFFFFF" w:val="clear"/>
            <w:tcMar>
              <w:bottom w:w="0" w:type="dxa"/>
            </w:tcMar>
            <w:vAlign w:val="center"/>
          </w:tcPr>
          <w:p>
            <w:pPr>
              <w:pStyle w:val="TableContents"/>
              <w:bidi w:val="0"/>
              <w:spacing w:before="0" w:after="283"/>
              <w:jc w:val="right"/>
              <w:rPr>
                <w:sz w:val="20"/>
              </w:rPr>
            </w:pPr>
            <w:r>
              <w:rPr>
                <w:sz w:val="20"/>
              </w:rPr>
              <w:t>10,331</w:t>
            </w:r>
          </w:p>
        </w:tc>
        <w:tc>
          <w:tcPr>
            <w:tcW w:w="1491" w:type="dxa"/>
            <w:tcBorders/>
            <w:shd w:fill="FFFFFF" w:val="clear"/>
            <w:tcMar>
              <w:bottom w:w="0" w:type="dxa"/>
            </w:tcMar>
            <w:vAlign w:val="center"/>
          </w:tcPr>
          <w:p>
            <w:pPr>
              <w:pStyle w:val="TableContents"/>
              <w:bidi w:val="0"/>
              <w:spacing w:before="0" w:after="283"/>
              <w:jc w:val="right"/>
              <w:rPr>
                <w:sz w:val="20"/>
              </w:rPr>
            </w:pPr>
            <w:r>
              <w:rPr>
                <w:sz w:val="20"/>
              </w:rPr>
              <w:t>(486)</w:t>
            </w:r>
          </w:p>
        </w:tc>
        <w:tc>
          <w:tcPr>
            <w:tcW w:w="1382" w:type="dxa"/>
            <w:tcBorders/>
            <w:shd w:fill="FFFFFF" w:val="clear"/>
            <w:tcMar>
              <w:bottom w:w="0" w:type="dxa"/>
            </w:tcMar>
            <w:vAlign w:val="center"/>
          </w:tcPr>
          <w:p>
            <w:pPr>
              <w:pStyle w:val="TableContents"/>
              <w:bidi w:val="0"/>
              <w:spacing w:before="0" w:after="283"/>
              <w:jc w:val="right"/>
              <w:rPr>
                <w:sz w:val="20"/>
              </w:rPr>
            </w:pPr>
            <w:r>
              <w:rPr>
                <w:sz w:val="20"/>
              </w:rPr>
              <w:t>9,537</w:t>
            </w:r>
          </w:p>
        </w:tc>
        <w:tc>
          <w:tcPr>
            <w:tcW w:w="1412" w:type="dxa"/>
            <w:tcBorders/>
            <w:shd w:fill="FFFFFF" w:val="clear"/>
            <w:tcMar>
              <w:bottom w:w="0" w:type="dxa"/>
            </w:tcMar>
            <w:vAlign w:val="center"/>
          </w:tcPr>
          <w:p>
            <w:pPr>
              <w:pStyle w:val="TableContents"/>
              <w:bidi w:val="0"/>
              <w:spacing w:before="0" w:after="283"/>
              <w:jc w:val="right"/>
              <w:rPr>
                <w:sz w:val="20"/>
              </w:rPr>
            </w:pPr>
            <w:r>
              <w:rPr>
                <w:sz w:val="20"/>
              </w:rPr>
              <w:t>304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interim financial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Patria Investments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Changes in Equity (unaudited)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six-month periods ended June 30, 2026, and 2025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United States dollars - US$)</w:t>
      </w:r>
    </w:p>
    <w:p>
      <w:pPr>
        <w:pStyle w:val="TextBody"/>
        <w:bidi w:val="0"/>
        <w:spacing w:before="0" w:after="0"/>
        <w:ind w:left="0" w:right="0" w:hanging="0"/>
        <w:jc w:val="center"/>
        <w:rPr>
          <w:caps w:val="false"/>
          <w:smallCaps w:val="false"/>
        </w:rPr>
      </w:pPr>
      <w:r>
        <w:rPr>
          <w:caps w:val="false"/>
          <w:smallCaps w:val="false"/>
        </w:rPr>
        <w:t> </w:t>
      </w:r>
    </w:p>
    <w:tbl>
      <w:tblPr>
        <w:tblW w:w="10605" w:type="dxa"/>
        <w:jc w:val="left"/>
        <w:tblInd w:w="0" w:type="dxa"/>
        <w:tblLayout w:type="fixed"/>
        <w:tblCellMar>
          <w:top w:w="0" w:type="dxa"/>
          <w:left w:w="0" w:type="dxa"/>
          <w:bottom w:w="0" w:type="dxa"/>
          <w:right w:w="0" w:type="dxa"/>
        </w:tblCellMar>
      </w:tblPr>
      <w:tblGrid>
        <w:gridCol w:w="1355"/>
        <w:gridCol w:w="485"/>
        <w:gridCol w:w="650"/>
        <w:gridCol w:w="920"/>
        <w:gridCol w:w="725"/>
        <w:gridCol w:w="770"/>
        <w:gridCol w:w="770"/>
        <w:gridCol w:w="1010"/>
        <w:gridCol w:w="815"/>
        <w:gridCol w:w="1025"/>
        <w:gridCol w:w="1370"/>
        <w:gridCol w:w="710"/>
      </w:tblGrid>
      <w:tr>
        <w:trPr/>
        <w:tc>
          <w:tcPr>
            <w:tcW w:w="135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Notes</w:t>
            </w:r>
          </w:p>
        </w:tc>
        <w:tc>
          <w:tcPr>
            <w:tcW w:w="65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Capital</w:t>
            </w:r>
          </w:p>
        </w:tc>
        <w:tc>
          <w:tcPr>
            <w:tcW w:w="92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Additional paid-in capital</w:t>
            </w:r>
          </w:p>
        </w:tc>
        <w:tc>
          <w:tcPr>
            <w:tcW w:w="7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Capital reserves</w:t>
            </w:r>
          </w:p>
        </w:tc>
        <w:tc>
          <w:tcPr>
            <w:tcW w:w="77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Other Reserves</w:t>
            </w:r>
          </w:p>
        </w:tc>
        <w:tc>
          <w:tcPr>
            <w:tcW w:w="77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Retained earnings</w:t>
            </w:r>
          </w:p>
        </w:tc>
        <w:tc>
          <w:tcPr>
            <w:tcW w:w="101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Cumulative translation adjustment</w:t>
            </w:r>
          </w:p>
        </w:tc>
        <w:tc>
          <w:tcPr>
            <w:tcW w:w="8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Treasury shares</w:t>
            </w:r>
          </w:p>
        </w:tc>
        <w:tc>
          <w:tcPr>
            <w:tcW w:w="10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Equity attributable to owners of the Parent</w:t>
            </w:r>
          </w:p>
        </w:tc>
        <w:tc>
          <w:tcPr>
            <w:tcW w:w="137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Non-controlling interests</w:t>
            </w:r>
          </w:p>
        </w:tc>
        <w:tc>
          <w:tcPr>
            <w:tcW w:w="71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Total Equity</w:t>
            </w:r>
          </w:p>
        </w:tc>
      </w:tr>
      <w:tr>
        <w:trPr/>
        <w:tc>
          <w:tcPr>
            <w:tcW w:w="135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right"/>
              <w:rPr/>
            </w:pPr>
            <w:r>
              <w:rPr/>
              <w:t> </w:t>
            </w:r>
          </w:p>
        </w:tc>
        <w:tc>
          <w:tcPr>
            <w:tcW w:w="920" w:type="dxa"/>
            <w:tcBorders/>
            <w:vAlign w:val="center"/>
          </w:tcPr>
          <w:p>
            <w:pPr>
              <w:pStyle w:val="TableContents"/>
              <w:bidi w:val="0"/>
              <w:spacing w:before="0" w:after="283"/>
              <w:jc w:val="right"/>
              <w:rPr/>
            </w:pPr>
            <w:r>
              <w:rPr/>
              <w:t> </w:t>
            </w:r>
          </w:p>
        </w:tc>
        <w:tc>
          <w:tcPr>
            <w:tcW w:w="725" w:type="dxa"/>
            <w:tcBorders/>
            <w:vAlign w:val="center"/>
          </w:tcPr>
          <w:p>
            <w:pPr>
              <w:pStyle w:val="TableContents"/>
              <w:bidi w:val="0"/>
              <w:spacing w:before="0" w:after="283"/>
              <w:jc w:val="right"/>
              <w:rPr/>
            </w:pPr>
            <w:r>
              <w:rPr/>
              <w:t> </w:t>
            </w:r>
          </w:p>
        </w:tc>
        <w:tc>
          <w:tcPr>
            <w:tcW w:w="770" w:type="dxa"/>
            <w:tcBorders/>
            <w:vAlign w:val="center"/>
          </w:tcPr>
          <w:p>
            <w:pPr>
              <w:pStyle w:val="TableContents"/>
              <w:bidi w:val="0"/>
              <w:spacing w:before="0" w:after="283"/>
              <w:jc w:val="right"/>
              <w:rPr/>
            </w:pPr>
            <w:r>
              <w:rPr/>
              <w:t> </w:t>
            </w:r>
          </w:p>
        </w:tc>
        <w:tc>
          <w:tcPr>
            <w:tcW w:w="7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 </w:t>
            </w:r>
          </w:p>
        </w:tc>
        <w:tc>
          <w:tcPr>
            <w:tcW w:w="815" w:type="dxa"/>
            <w:tcBorders/>
            <w:vAlign w:val="center"/>
          </w:tcPr>
          <w:p>
            <w:pPr>
              <w:pStyle w:val="TableContents"/>
              <w:bidi w:val="0"/>
              <w:spacing w:before="0" w:after="283"/>
              <w:jc w:val="right"/>
              <w:rPr/>
            </w:pPr>
            <w:r>
              <w:rPr/>
              <w:t> </w:t>
            </w:r>
          </w:p>
        </w:tc>
        <w:tc>
          <w:tcPr>
            <w:tcW w:w="1025" w:type="dxa"/>
            <w:tcBorders/>
            <w:vAlign w:val="center"/>
          </w:tcPr>
          <w:p>
            <w:pPr>
              <w:pStyle w:val="TableContents"/>
              <w:bidi w:val="0"/>
              <w:spacing w:before="0" w:after="283"/>
              <w:jc w:val="right"/>
              <w:rPr/>
            </w:pPr>
            <w:r>
              <w:rPr/>
              <w:t> </w:t>
            </w:r>
          </w:p>
        </w:tc>
        <w:tc>
          <w:tcPr>
            <w:tcW w:w="1370" w:type="dxa"/>
            <w:tcBorders/>
            <w:vAlign w:val="center"/>
          </w:tcPr>
          <w:p>
            <w:pPr>
              <w:pStyle w:val="TableContents"/>
              <w:bidi w:val="0"/>
              <w:spacing w:before="0" w:after="283"/>
              <w:jc w:val="right"/>
              <w:rPr/>
            </w:pPr>
            <w:r>
              <w:rPr/>
              <w:t> </w:t>
            </w:r>
          </w:p>
        </w:tc>
        <w:tc>
          <w:tcPr>
            <w:tcW w:w="710" w:type="dxa"/>
            <w:tcBorders/>
            <w:vAlign w:val="center"/>
          </w:tcPr>
          <w:p>
            <w:pPr>
              <w:pStyle w:val="TableContents"/>
              <w:bidi w:val="0"/>
              <w:spacing w:before="0" w:after="283"/>
              <w:jc w:val="right"/>
              <w:rPr/>
            </w:pPr>
            <w:r>
              <w:rPr/>
              <w:t> </w:t>
            </w:r>
          </w:p>
        </w:tc>
      </w:tr>
      <w:tr>
        <w:trPr/>
        <w:tc>
          <w:tcPr>
            <w:tcW w:w="1355" w:type="dxa"/>
            <w:tcBorders/>
            <w:shd w:fill="D5EAEA" w:val="clear"/>
            <w:vAlign w:val="center"/>
          </w:tcPr>
          <w:p>
            <w:pPr>
              <w:pStyle w:val="TableContents"/>
              <w:bidi w:val="0"/>
              <w:spacing w:before="0" w:after="283"/>
              <w:jc w:val="left"/>
              <w:rPr>
                <w:b/>
                <w:sz w:val="20"/>
              </w:rPr>
            </w:pPr>
            <w:r>
              <w:rPr>
                <w:b/>
                <w:sz w:val="20"/>
              </w:rPr>
              <w:t xml:space="preserve">Balance on December 31, 2024 </w:t>
            </w:r>
          </w:p>
        </w:tc>
        <w:tc>
          <w:tcPr>
            <w:tcW w:w="485" w:type="dxa"/>
            <w:tcBorders/>
            <w:shd w:fill="D5EAEA" w:val="clear"/>
            <w:vAlign w:val="center"/>
          </w:tcPr>
          <w:p>
            <w:pPr>
              <w:pStyle w:val="TableContents"/>
              <w:bidi w:val="0"/>
              <w:spacing w:before="0" w:after="283"/>
              <w:jc w:val="center"/>
              <w:rPr/>
            </w:pPr>
            <w:r>
              <w:rPr/>
              <w:t> </w:t>
            </w:r>
          </w:p>
        </w:tc>
        <w:tc>
          <w:tcPr>
            <w:tcW w:w="650" w:type="dxa"/>
            <w:tcBorders>
              <w:top w:val="double" w:sz="6" w:space="0" w:color="000000"/>
              <w:bottom w:val="double" w:sz="6"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15</w:t>
            </w:r>
          </w:p>
        </w:tc>
        <w:tc>
          <w:tcPr>
            <w:tcW w:w="920" w:type="dxa"/>
            <w:tcBorders>
              <w:top w:val="double" w:sz="6" w:space="0" w:color="000000"/>
              <w:bottom w:val="double" w:sz="6"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527,239</w:t>
            </w:r>
          </w:p>
        </w:tc>
        <w:tc>
          <w:tcPr>
            <w:tcW w:w="725" w:type="dxa"/>
            <w:tcBorders>
              <w:top w:val="double" w:sz="6" w:space="0" w:color="000000"/>
              <w:bottom w:val="double" w:sz="6"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22,041</w:t>
            </w:r>
          </w:p>
        </w:tc>
        <w:tc>
          <w:tcPr>
            <w:tcW w:w="770" w:type="dxa"/>
            <w:tcBorders>
              <w:top w:val="double" w:sz="6" w:space="0" w:color="000000"/>
              <w:bottom w:val="double" w:sz="6"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w:t>
            </w:r>
          </w:p>
        </w:tc>
        <w:tc>
          <w:tcPr>
            <w:tcW w:w="770" w:type="dxa"/>
            <w:tcBorders>
              <w:top w:val="double" w:sz="6" w:space="0" w:color="000000"/>
              <w:bottom w:val="double" w:sz="6"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w:t>
            </w:r>
          </w:p>
        </w:tc>
        <w:tc>
          <w:tcPr>
            <w:tcW w:w="1010" w:type="dxa"/>
            <w:tcBorders>
              <w:top w:val="double" w:sz="6" w:space="0" w:color="000000"/>
              <w:bottom w:val="double" w:sz="6"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(68,217)</w:t>
            </w:r>
          </w:p>
        </w:tc>
        <w:tc>
          <w:tcPr>
            <w:tcW w:w="815" w:type="dxa"/>
            <w:tcBorders>
              <w:top w:val="double" w:sz="6" w:space="0" w:color="000000"/>
              <w:bottom w:val="double" w:sz="6"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w:t>
            </w:r>
          </w:p>
        </w:tc>
        <w:tc>
          <w:tcPr>
            <w:tcW w:w="1025" w:type="dxa"/>
            <w:tcBorders>
              <w:top w:val="double" w:sz="6" w:space="0" w:color="000000"/>
              <w:bottom w:val="double" w:sz="6"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481,078</w:t>
            </w:r>
          </w:p>
        </w:tc>
        <w:tc>
          <w:tcPr>
            <w:tcW w:w="1370" w:type="dxa"/>
            <w:tcBorders>
              <w:top w:val="double" w:sz="6" w:space="0" w:color="000000"/>
              <w:bottom w:val="double" w:sz="6"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9,854</w:t>
            </w:r>
          </w:p>
        </w:tc>
        <w:tc>
          <w:tcPr>
            <w:tcW w:w="710" w:type="dxa"/>
            <w:tcBorders>
              <w:top w:val="double" w:sz="6" w:space="0" w:color="000000"/>
              <w:bottom w:val="double" w:sz="6"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490,932</w:t>
            </w:r>
          </w:p>
        </w:tc>
      </w:tr>
      <w:tr>
        <w:trPr/>
        <w:tc>
          <w:tcPr>
            <w:tcW w:w="135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right"/>
              <w:rPr/>
            </w:pPr>
            <w:r>
              <w:rPr/>
              <w:t> </w:t>
            </w:r>
          </w:p>
        </w:tc>
        <w:tc>
          <w:tcPr>
            <w:tcW w:w="920"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pPr>
            <w:r>
              <w:rPr/>
              <w:t> </w:t>
            </w:r>
          </w:p>
        </w:tc>
        <w:tc>
          <w:tcPr>
            <w:tcW w:w="770" w:type="dxa"/>
            <w:tcBorders/>
            <w:shd w:fill="FFFFFF" w:val="clear"/>
            <w:vAlign w:val="center"/>
          </w:tcPr>
          <w:p>
            <w:pPr>
              <w:pStyle w:val="TableContents"/>
              <w:bidi w:val="0"/>
              <w:spacing w:before="0" w:after="283"/>
              <w:jc w:val="right"/>
              <w:rPr/>
            </w:pPr>
            <w:r>
              <w:rPr/>
              <w:t> </w:t>
            </w:r>
          </w:p>
        </w:tc>
        <w:tc>
          <w:tcPr>
            <w:tcW w:w="77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pPr>
            <w:r>
              <w:rPr/>
              <w:t> </w:t>
            </w:r>
          </w:p>
        </w:tc>
        <w:tc>
          <w:tcPr>
            <w:tcW w:w="1370" w:type="dxa"/>
            <w:tcBorders/>
            <w:shd w:fill="FFFFFF" w:val="clear"/>
            <w:vAlign w:val="center"/>
          </w:tcPr>
          <w:p>
            <w:pPr>
              <w:pStyle w:val="TableContents"/>
              <w:bidi w:val="0"/>
              <w:spacing w:before="0" w:after="283"/>
              <w:jc w:val="right"/>
              <w:rPr/>
            </w:pPr>
            <w:r>
              <w:rPr/>
              <w:t> </w:t>
            </w:r>
          </w:p>
        </w:tc>
        <w:tc>
          <w:tcPr>
            <w:tcW w:w="710" w:type="dxa"/>
            <w:tcBorders/>
            <w:shd w:fill="FFFFFF" w:val="clear"/>
            <w:vAlign w:val="center"/>
          </w:tcPr>
          <w:p>
            <w:pPr>
              <w:pStyle w:val="TableContents"/>
              <w:bidi w:val="0"/>
              <w:spacing w:before="0" w:after="283"/>
              <w:jc w:val="right"/>
              <w:rPr/>
            </w:pPr>
            <w:r>
              <w:rPr/>
              <w:t> </w:t>
            </w:r>
          </w:p>
        </w:tc>
      </w:tr>
      <w:tr>
        <w:trPr/>
        <w:tc>
          <w:tcPr>
            <w:tcW w:w="1355" w:type="dxa"/>
            <w:tcBorders/>
            <w:shd w:fill="D5EAEA" w:val="clear"/>
            <w:vAlign w:val="center"/>
          </w:tcPr>
          <w:p>
            <w:pPr>
              <w:pStyle w:val="TableContents"/>
              <w:bidi w:val="0"/>
              <w:spacing w:before="0" w:after="283"/>
              <w:jc w:val="left"/>
              <w:rPr>
                <w:sz w:val="20"/>
              </w:rPr>
            </w:pPr>
            <w:r>
              <w:rPr>
                <w:sz w:val="20"/>
              </w:rPr>
              <w:t xml:space="preserve">Cumulative translation adjustment </w:t>
            </w:r>
          </w:p>
        </w:tc>
        <w:tc>
          <w:tcPr>
            <w:tcW w:w="485" w:type="dxa"/>
            <w:tcBorders/>
            <w:shd w:fill="D5EAEA" w:val="clear"/>
            <w:vAlign w:val="center"/>
          </w:tcPr>
          <w:p>
            <w:pPr>
              <w:pStyle w:val="TableContents"/>
              <w:bidi w:val="0"/>
              <w:spacing w:before="0" w:after="283"/>
              <w:jc w:val="center"/>
              <w:rPr/>
            </w:pPr>
            <w:r>
              <w:rPr/>
              <w:t> </w:t>
            </w:r>
          </w:p>
        </w:tc>
        <w:tc>
          <w:tcPr>
            <w:tcW w:w="650" w:type="dxa"/>
            <w:tcBorders/>
            <w:shd w:fill="D5EAEA" w:val="clear"/>
            <w:vAlign w:val="center"/>
          </w:tcPr>
          <w:p>
            <w:pPr>
              <w:pStyle w:val="TableContents"/>
              <w:bidi w:val="0"/>
              <w:spacing w:before="0" w:after="283"/>
              <w:jc w:val="right"/>
              <w:rPr>
                <w:sz w:val="20"/>
              </w:rPr>
            </w:pPr>
            <w:r>
              <w:rPr>
                <w:sz w:val="20"/>
              </w:rPr>
              <w:t>-</w:t>
            </w:r>
          </w:p>
        </w:tc>
        <w:tc>
          <w:tcPr>
            <w:tcW w:w="920" w:type="dxa"/>
            <w:tcBorders/>
            <w:shd w:fill="D5EAEA" w:val="clear"/>
            <w:vAlign w:val="center"/>
          </w:tcPr>
          <w:p>
            <w:pPr>
              <w:pStyle w:val="TableContents"/>
              <w:bidi w:val="0"/>
              <w:spacing w:before="0" w:after="283"/>
              <w:jc w:val="right"/>
              <w:rPr>
                <w:sz w:val="20"/>
              </w:rPr>
            </w:pPr>
            <w:r>
              <w:rPr>
                <w:sz w:val="20"/>
              </w:rPr>
              <w:t>-</w:t>
            </w:r>
          </w:p>
        </w:tc>
        <w:tc>
          <w:tcPr>
            <w:tcW w:w="725"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sz w:val="20"/>
              </w:rPr>
            </w:pPr>
            <w:r>
              <w:rPr>
                <w:sz w:val="20"/>
              </w:rPr>
              <w:t>-</w:t>
            </w:r>
          </w:p>
        </w:tc>
        <w:tc>
          <w:tcPr>
            <w:tcW w:w="1010" w:type="dxa"/>
            <w:tcBorders/>
            <w:shd w:fill="D5EAEA" w:val="clear"/>
            <w:vAlign w:val="center"/>
          </w:tcPr>
          <w:p>
            <w:pPr>
              <w:pStyle w:val="TableContents"/>
              <w:bidi w:val="0"/>
              <w:spacing w:before="0" w:after="283"/>
              <w:jc w:val="right"/>
              <w:rPr>
                <w:sz w:val="20"/>
              </w:rPr>
            </w:pPr>
            <w:r>
              <w:rPr>
                <w:sz w:val="20"/>
              </w:rPr>
              <w:t>45,567</w:t>
            </w:r>
          </w:p>
        </w:tc>
        <w:tc>
          <w:tcPr>
            <w:tcW w:w="815" w:type="dxa"/>
            <w:tcBorders/>
            <w:shd w:fill="D5EAEA" w:val="clear"/>
            <w:vAlign w:val="center"/>
          </w:tcPr>
          <w:p>
            <w:pPr>
              <w:pStyle w:val="TableContents"/>
              <w:bidi w:val="0"/>
              <w:spacing w:before="0" w:after="283"/>
              <w:jc w:val="right"/>
              <w:rPr>
                <w:sz w:val="20"/>
              </w:rPr>
            </w:pPr>
            <w:r>
              <w:rPr>
                <w:sz w:val="20"/>
              </w:rPr>
              <w:t>-</w:t>
            </w:r>
          </w:p>
        </w:tc>
        <w:tc>
          <w:tcPr>
            <w:tcW w:w="1025" w:type="dxa"/>
            <w:tcBorders/>
            <w:shd w:fill="D5EAEA" w:val="clear"/>
            <w:vAlign w:val="center"/>
          </w:tcPr>
          <w:p>
            <w:pPr>
              <w:pStyle w:val="TableContents"/>
              <w:bidi w:val="0"/>
              <w:spacing w:before="0" w:after="283"/>
              <w:jc w:val="right"/>
              <w:rPr>
                <w:sz w:val="20"/>
              </w:rPr>
            </w:pPr>
            <w:r>
              <w:rPr>
                <w:sz w:val="20"/>
              </w:rPr>
              <w:t>45,567</w:t>
            </w:r>
          </w:p>
        </w:tc>
        <w:tc>
          <w:tcPr>
            <w:tcW w:w="1370" w:type="dxa"/>
            <w:tcBorders/>
            <w:shd w:fill="D5EAEA" w:val="clear"/>
            <w:vAlign w:val="center"/>
          </w:tcPr>
          <w:p>
            <w:pPr>
              <w:pStyle w:val="TableContents"/>
              <w:bidi w:val="0"/>
              <w:spacing w:before="0" w:after="283"/>
              <w:jc w:val="right"/>
              <w:rPr>
                <w:sz w:val="20"/>
              </w:rPr>
            </w:pPr>
            <w:r>
              <w:rPr>
                <w:sz w:val="20"/>
              </w:rPr>
              <w:t>(1,860)</w:t>
            </w:r>
          </w:p>
        </w:tc>
        <w:tc>
          <w:tcPr>
            <w:tcW w:w="710" w:type="dxa"/>
            <w:tcBorders/>
            <w:shd w:fill="D5EAEA" w:val="clear"/>
            <w:vAlign w:val="center"/>
          </w:tcPr>
          <w:p>
            <w:pPr>
              <w:pStyle w:val="TableContents"/>
              <w:bidi w:val="0"/>
              <w:spacing w:before="0" w:after="283"/>
              <w:jc w:val="right"/>
              <w:rPr>
                <w:sz w:val="20"/>
              </w:rPr>
            </w:pPr>
            <w:r>
              <w:rPr>
                <w:sz w:val="20"/>
              </w:rPr>
              <w:t>43,707</w:t>
            </w:r>
          </w:p>
        </w:tc>
      </w:tr>
      <w:tr>
        <w:trPr/>
        <w:tc>
          <w:tcPr>
            <w:tcW w:w="1355" w:type="dxa"/>
            <w:tcBorders/>
            <w:shd w:fill="FFFFFF" w:val="clear"/>
            <w:vAlign w:val="center"/>
          </w:tcPr>
          <w:p>
            <w:pPr>
              <w:pStyle w:val="TableContents"/>
              <w:bidi w:val="0"/>
              <w:spacing w:before="0" w:after="283"/>
              <w:jc w:val="left"/>
              <w:rPr>
                <w:sz w:val="20"/>
              </w:rPr>
            </w:pPr>
            <w:r>
              <w:rPr>
                <w:sz w:val="20"/>
              </w:rPr>
              <w:t>Net income for the period</w:t>
            </w:r>
          </w:p>
        </w:tc>
        <w:tc>
          <w:tcPr>
            <w:tcW w:w="485"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920" w:type="dxa"/>
            <w:tcBorders/>
            <w:shd w:fill="FFFFFF" w:val="clear"/>
            <w:vAlign w:val="center"/>
          </w:tcPr>
          <w:p>
            <w:pPr>
              <w:pStyle w:val="TableContents"/>
              <w:bidi w:val="0"/>
              <w:spacing w:before="0" w:after="283"/>
              <w:jc w:val="right"/>
              <w:rPr>
                <w:sz w:val="20"/>
              </w:rPr>
            </w:pPr>
            <w:r>
              <w:rPr>
                <w:sz w:val="20"/>
              </w:rPr>
              <w:t>-</w:t>
            </w:r>
          </w:p>
        </w:tc>
        <w:tc>
          <w:tcPr>
            <w:tcW w:w="725" w:type="dxa"/>
            <w:tcBorders/>
            <w:shd w:fill="FFFFFF" w:val="clear"/>
            <w:vAlign w:val="center"/>
          </w:tcPr>
          <w:p>
            <w:pPr>
              <w:pStyle w:val="TableContents"/>
              <w:bidi w:val="0"/>
              <w:spacing w:before="0" w:after="283"/>
              <w:jc w:val="right"/>
              <w:rPr>
                <w:sz w:val="20"/>
              </w:rPr>
            </w:pPr>
            <w:r>
              <w:rPr>
                <w:sz w:val="20"/>
              </w:rPr>
              <w:t>-</w:t>
            </w:r>
          </w:p>
        </w:tc>
        <w:tc>
          <w:tcPr>
            <w:tcW w:w="770" w:type="dxa"/>
            <w:tcBorders/>
            <w:shd w:fill="FFFFFF" w:val="clear"/>
            <w:vAlign w:val="center"/>
          </w:tcPr>
          <w:p>
            <w:pPr>
              <w:pStyle w:val="TableContents"/>
              <w:bidi w:val="0"/>
              <w:spacing w:before="0" w:after="283"/>
              <w:jc w:val="right"/>
              <w:rPr>
                <w:sz w:val="20"/>
              </w:rPr>
            </w:pPr>
            <w:r>
              <w:rPr>
                <w:sz w:val="20"/>
              </w:rPr>
              <w:t>-</w:t>
            </w:r>
          </w:p>
        </w:tc>
        <w:tc>
          <w:tcPr>
            <w:tcW w:w="770" w:type="dxa"/>
            <w:tcBorders/>
            <w:shd w:fill="FFFFFF" w:val="clear"/>
            <w:vAlign w:val="center"/>
          </w:tcPr>
          <w:p>
            <w:pPr>
              <w:pStyle w:val="TableContents"/>
              <w:bidi w:val="0"/>
              <w:spacing w:before="0" w:after="283"/>
              <w:jc w:val="right"/>
              <w:rPr>
                <w:sz w:val="20"/>
              </w:rPr>
            </w:pPr>
            <w:r>
              <w:rPr>
                <w:sz w:val="20"/>
              </w:rPr>
              <w:t>28,515</w:t>
            </w:r>
          </w:p>
        </w:tc>
        <w:tc>
          <w:tcPr>
            <w:tcW w:w="1010" w:type="dxa"/>
            <w:tcBorders/>
            <w:shd w:fill="FFFFFF" w:val="clear"/>
            <w:vAlign w:val="center"/>
          </w:tcPr>
          <w:p>
            <w:pPr>
              <w:pStyle w:val="TableContents"/>
              <w:bidi w:val="0"/>
              <w:spacing w:before="0" w:after="283"/>
              <w:jc w:val="right"/>
              <w:rPr>
                <w:sz w:val="20"/>
              </w:rPr>
            </w:pPr>
            <w:r>
              <w:rPr>
                <w:sz w:val="20"/>
              </w:rPr>
              <w:t>-</w:t>
            </w:r>
          </w:p>
        </w:tc>
        <w:tc>
          <w:tcPr>
            <w:tcW w:w="815" w:type="dxa"/>
            <w:tcBorders/>
            <w:shd w:fill="FFFFFF" w:val="clear"/>
            <w:vAlign w:val="center"/>
          </w:tcPr>
          <w:p>
            <w:pPr>
              <w:pStyle w:val="TableContents"/>
              <w:bidi w:val="0"/>
              <w:spacing w:before="0" w:after="283"/>
              <w:jc w:val="righ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28,515</w:t>
            </w:r>
          </w:p>
        </w:tc>
        <w:tc>
          <w:tcPr>
            <w:tcW w:w="1370" w:type="dxa"/>
            <w:tcBorders/>
            <w:shd w:fill="FFFFFF" w:val="clear"/>
            <w:vAlign w:val="center"/>
          </w:tcPr>
          <w:p>
            <w:pPr>
              <w:pStyle w:val="TableContents"/>
              <w:bidi w:val="0"/>
              <w:spacing w:before="0" w:after="283"/>
              <w:jc w:val="right"/>
              <w:rPr>
                <w:sz w:val="20"/>
              </w:rPr>
            </w:pPr>
            <w:r>
              <w:rPr>
                <w:sz w:val="20"/>
              </w:rPr>
              <w:t>2,164</w:t>
            </w:r>
          </w:p>
        </w:tc>
        <w:tc>
          <w:tcPr>
            <w:tcW w:w="710" w:type="dxa"/>
            <w:tcBorders/>
            <w:shd w:fill="FFFFFF" w:val="clear"/>
            <w:vAlign w:val="center"/>
          </w:tcPr>
          <w:p>
            <w:pPr>
              <w:pStyle w:val="TableContents"/>
              <w:bidi w:val="0"/>
              <w:spacing w:before="0" w:after="283"/>
              <w:jc w:val="right"/>
              <w:rPr>
                <w:sz w:val="20"/>
              </w:rPr>
            </w:pPr>
            <w:r>
              <w:rPr>
                <w:sz w:val="20"/>
              </w:rPr>
              <w:t>30,679</w:t>
            </w:r>
          </w:p>
        </w:tc>
      </w:tr>
      <w:tr>
        <w:trPr/>
        <w:tc>
          <w:tcPr>
            <w:tcW w:w="1355" w:type="dxa"/>
            <w:tcBorders/>
            <w:shd w:fill="D5EAEA" w:val="clear"/>
            <w:vAlign w:val="center"/>
          </w:tcPr>
          <w:p>
            <w:pPr>
              <w:pStyle w:val="TableContents"/>
              <w:bidi w:val="0"/>
              <w:spacing w:before="0" w:after="283"/>
              <w:jc w:val="left"/>
              <w:rPr>
                <w:sz w:val="20"/>
              </w:rPr>
            </w:pPr>
            <w:r>
              <w:rPr>
                <w:sz w:val="20"/>
              </w:rPr>
              <w:t>Dividends declared</w:t>
            </w:r>
          </w:p>
        </w:tc>
        <w:tc>
          <w:tcPr>
            <w:tcW w:w="485" w:type="dxa"/>
            <w:tcBorders/>
            <w:shd w:fill="D5EAEA" w:val="clear"/>
            <w:vAlign w:val="center"/>
          </w:tcPr>
          <w:p>
            <w:pPr>
              <w:pStyle w:val="TableContents"/>
              <w:bidi w:val="0"/>
              <w:spacing w:before="0" w:after="283"/>
              <w:jc w:val="center"/>
              <w:rPr>
                <w:sz w:val="20"/>
              </w:rPr>
            </w:pPr>
            <w:r>
              <w:rPr>
                <w:sz w:val="20"/>
              </w:rPr>
              <w:t>29(c)</w:t>
            </w:r>
          </w:p>
        </w:tc>
        <w:tc>
          <w:tcPr>
            <w:tcW w:w="650" w:type="dxa"/>
            <w:tcBorders/>
            <w:shd w:fill="D5EAEA" w:val="clear"/>
            <w:vAlign w:val="center"/>
          </w:tcPr>
          <w:p>
            <w:pPr>
              <w:pStyle w:val="TableContents"/>
              <w:bidi w:val="0"/>
              <w:spacing w:before="0" w:after="283"/>
              <w:jc w:val="right"/>
              <w:rPr>
                <w:sz w:val="20"/>
              </w:rPr>
            </w:pPr>
            <w:r>
              <w:rPr>
                <w:sz w:val="20"/>
              </w:rPr>
              <w:t>-</w:t>
            </w:r>
          </w:p>
        </w:tc>
        <w:tc>
          <w:tcPr>
            <w:tcW w:w="920" w:type="dxa"/>
            <w:tcBorders/>
            <w:shd w:fill="D5EAEA" w:val="clear"/>
            <w:vAlign w:val="center"/>
          </w:tcPr>
          <w:p>
            <w:pPr>
              <w:pStyle w:val="TableContents"/>
              <w:bidi w:val="0"/>
              <w:spacing w:before="0" w:after="283"/>
              <w:jc w:val="right"/>
              <w:rPr>
                <w:sz w:val="20"/>
              </w:rPr>
            </w:pPr>
            <w:r>
              <w:rPr>
                <w:sz w:val="20"/>
              </w:rPr>
              <w:t>(18,786)</w:t>
            </w:r>
          </w:p>
        </w:tc>
        <w:tc>
          <w:tcPr>
            <w:tcW w:w="725"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sz w:val="20"/>
              </w:rPr>
            </w:pPr>
            <w:r>
              <w:rPr>
                <w:sz w:val="20"/>
              </w:rPr>
              <w:t>(28,515)</w:t>
            </w:r>
          </w:p>
        </w:tc>
        <w:tc>
          <w:tcPr>
            <w:tcW w:w="1010" w:type="dxa"/>
            <w:tcBorders/>
            <w:shd w:fill="D5EAEA" w:val="clear"/>
            <w:vAlign w:val="center"/>
          </w:tcPr>
          <w:p>
            <w:pPr>
              <w:pStyle w:val="TableContents"/>
              <w:bidi w:val="0"/>
              <w:spacing w:before="0" w:after="283"/>
              <w:jc w:val="right"/>
              <w:rPr>
                <w:sz w:val="20"/>
              </w:rPr>
            </w:pPr>
            <w:r>
              <w:rPr>
                <w:sz w:val="20"/>
              </w:rPr>
              <w:t>-</w:t>
            </w:r>
          </w:p>
        </w:tc>
        <w:tc>
          <w:tcPr>
            <w:tcW w:w="815" w:type="dxa"/>
            <w:tcBorders/>
            <w:shd w:fill="D5EAEA" w:val="clear"/>
            <w:vAlign w:val="center"/>
          </w:tcPr>
          <w:p>
            <w:pPr>
              <w:pStyle w:val="TableContents"/>
              <w:bidi w:val="0"/>
              <w:spacing w:before="0" w:after="283"/>
              <w:jc w:val="right"/>
              <w:rPr>
                <w:sz w:val="20"/>
              </w:rPr>
            </w:pPr>
            <w:r>
              <w:rPr>
                <w:sz w:val="20"/>
              </w:rPr>
              <w:t>-</w:t>
            </w:r>
          </w:p>
        </w:tc>
        <w:tc>
          <w:tcPr>
            <w:tcW w:w="1025" w:type="dxa"/>
            <w:tcBorders/>
            <w:shd w:fill="D5EAEA" w:val="clear"/>
            <w:vAlign w:val="center"/>
          </w:tcPr>
          <w:p>
            <w:pPr>
              <w:pStyle w:val="TableContents"/>
              <w:bidi w:val="0"/>
              <w:spacing w:before="0" w:after="283"/>
              <w:jc w:val="right"/>
              <w:rPr>
                <w:sz w:val="20"/>
              </w:rPr>
            </w:pPr>
            <w:r>
              <w:rPr>
                <w:sz w:val="20"/>
              </w:rPr>
              <w:t>(47,301)</w:t>
            </w:r>
          </w:p>
        </w:tc>
        <w:tc>
          <w:tcPr>
            <w:tcW w:w="137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sz w:val="20"/>
              </w:rPr>
            </w:pPr>
            <w:r>
              <w:rPr>
                <w:sz w:val="20"/>
              </w:rPr>
              <w:t>(47,301)</w:t>
            </w:r>
          </w:p>
        </w:tc>
      </w:tr>
      <w:tr>
        <w:trPr/>
        <w:tc>
          <w:tcPr>
            <w:tcW w:w="1355" w:type="dxa"/>
            <w:tcBorders/>
            <w:shd w:fill="FFFFFF" w:val="clear"/>
            <w:vAlign w:val="center"/>
          </w:tcPr>
          <w:p>
            <w:pPr>
              <w:pStyle w:val="TableContents"/>
              <w:bidi w:val="0"/>
              <w:spacing w:before="0" w:after="283"/>
              <w:jc w:val="left"/>
              <w:rPr>
                <w:sz w:val="20"/>
              </w:rPr>
            </w:pPr>
            <w:r>
              <w:rPr>
                <w:sz w:val="20"/>
              </w:rPr>
              <w:t>Share-based incentive plan</w:t>
            </w:r>
          </w:p>
        </w:tc>
        <w:tc>
          <w:tcPr>
            <w:tcW w:w="485" w:type="dxa"/>
            <w:tcBorders/>
            <w:shd w:fill="FFFFFF" w:val="clear"/>
            <w:vAlign w:val="center"/>
          </w:tcPr>
          <w:p>
            <w:pPr>
              <w:pStyle w:val="TableContents"/>
              <w:bidi w:val="0"/>
              <w:spacing w:before="0" w:after="283"/>
              <w:jc w:val="center"/>
              <w:rPr>
                <w:sz w:val="20"/>
              </w:rPr>
            </w:pPr>
            <w:r>
              <w:rPr>
                <w:sz w:val="20"/>
              </w:rPr>
              <w:t>29(d)</w:t>
            </w:r>
          </w:p>
        </w:tc>
        <w:tc>
          <w:tcPr>
            <w:tcW w:w="650" w:type="dxa"/>
            <w:tcBorders/>
            <w:shd w:fill="FFFFFF" w:val="clear"/>
            <w:vAlign w:val="center"/>
          </w:tcPr>
          <w:p>
            <w:pPr>
              <w:pStyle w:val="TableContents"/>
              <w:bidi w:val="0"/>
              <w:spacing w:before="0" w:after="283"/>
              <w:jc w:val="right"/>
              <w:rPr>
                <w:sz w:val="20"/>
              </w:rPr>
            </w:pPr>
            <w:r>
              <w:rPr>
                <w:sz w:val="20"/>
              </w:rPr>
              <w:t>-</w:t>
            </w:r>
          </w:p>
        </w:tc>
        <w:tc>
          <w:tcPr>
            <w:tcW w:w="920" w:type="dxa"/>
            <w:tcBorders/>
            <w:shd w:fill="FFFFFF" w:val="clear"/>
            <w:vAlign w:val="center"/>
          </w:tcPr>
          <w:p>
            <w:pPr>
              <w:pStyle w:val="TableContents"/>
              <w:bidi w:val="0"/>
              <w:spacing w:before="0" w:after="283"/>
              <w:jc w:val="right"/>
              <w:rPr>
                <w:sz w:val="20"/>
              </w:rPr>
            </w:pPr>
            <w:r>
              <w:rPr>
                <w:sz w:val="20"/>
              </w:rPr>
              <w:t>-</w:t>
            </w:r>
          </w:p>
        </w:tc>
        <w:tc>
          <w:tcPr>
            <w:tcW w:w="725" w:type="dxa"/>
            <w:tcBorders/>
            <w:shd w:fill="FFFFFF" w:val="clear"/>
            <w:vAlign w:val="center"/>
          </w:tcPr>
          <w:p>
            <w:pPr>
              <w:pStyle w:val="TableContents"/>
              <w:bidi w:val="0"/>
              <w:spacing w:before="0" w:after="283"/>
              <w:jc w:val="right"/>
              <w:rPr>
                <w:sz w:val="20"/>
              </w:rPr>
            </w:pPr>
            <w:r>
              <w:rPr>
                <w:sz w:val="20"/>
              </w:rPr>
              <w:t>7,439</w:t>
            </w:r>
          </w:p>
        </w:tc>
        <w:tc>
          <w:tcPr>
            <w:tcW w:w="770" w:type="dxa"/>
            <w:tcBorders/>
            <w:shd w:fill="FFFFFF" w:val="clear"/>
            <w:vAlign w:val="center"/>
          </w:tcPr>
          <w:p>
            <w:pPr>
              <w:pStyle w:val="TableContents"/>
              <w:bidi w:val="0"/>
              <w:spacing w:before="0" w:after="283"/>
              <w:jc w:val="right"/>
              <w:rPr>
                <w:sz w:val="20"/>
              </w:rPr>
            </w:pPr>
            <w:r>
              <w:rPr>
                <w:sz w:val="20"/>
              </w:rPr>
              <w:t>-</w:t>
            </w:r>
          </w:p>
        </w:tc>
        <w:tc>
          <w:tcPr>
            <w:tcW w:w="770" w:type="dxa"/>
            <w:tcBorders/>
            <w:shd w:fill="FFFFFF" w:val="clear"/>
            <w:vAlign w:val="center"/>
          </w:tcPr>
          <w:p>
            <w:pPr>
              <w:pStyle w:val="TableContents"/>
              <w:bidi w:val="0"/>
              <w:spacing w:before="0" w:after="283"/>
              <w:jc w:val="righ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w:t>
            </w:r>
          </w:p>
        </w:tc>
        <w:tc>
          <w:tcPr>
            <w:tcW w:w="815" w:type="dxa"/>
            <w:tcBorders/>
            <w:shd w:fill="FFFFFF" w:val="clear"/>
            <w:vAlign w:val="center"/>
          </w:tcPr>
          <w:p>
            <w:pPr>
              <w:pStyle w:val="TableContents"/>
              <w:bidi w:val="0"/>
              <w:spacing w:before="0" w:after="283"/>
              <w:jc w:val="righ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7,439</w:t>
            </w:r>
          </w:p>
        </w:tc>
        <w:tc>
          <w:tcPr>
            <w:tcW w:w="1370" w:type="dxa"/>
            <w:tcBorders/>
            <w:shd w:fill="FFFFFF" w:val="clear"/>
            <w:vAlign w:val="center"/>
          </w:tcPr>
          <w:p>
            <w:pPr>
              <w:pStyle w:val="TableContents"/>
              <w:bidi w:val="0"/>
              <w:spacing w:before="0" w:after="283"/>
              <w:jc w:val="right"/>
              <w:rPr>
                <w:sz w:val="20"/>
              </w:rPr>
            </w:pPr>
            <w:r>
              <w:rPr>
                <w:sz w:val="20"/>
              </w:rPr>
              <w:t>-</w:t>
            </w:r>
          </w:p>
        </w:tc>
        <w:tc>
          <w:tcPr>
            <w:tcW w:w="710" w:type="dxa"/>
            <w:tcBorders/>
            <w:shd w:fill="FFFFFF" w:val="clear"/>
            <w:vAlign w:val="center"/>
          </w:tcPr>
          <w:p>
            <w:pPr>
              <w:pStyle w:val="TableContents"/>
              <w:bidi w:val="0"/>
              <w:spacing w:before="0" w:after="283"/>
              <w:jc w:val="right"/>
              <w:rPr>
                <w:sz w:val="20"/>
              </w:rPr>
            </w:pPr>
            <w:r>
              <w:rPr>
                <w:sz w:val="20"/>
              </w:rPr>
              <w:t>7,439</w:t>
            </w:r>
          </w:p>
        </w:tc>
      </w:tr>
      <w:tr>
        <w:trPr/>
        <w:tc>
          <w:tcPr>
            <w:tcW w:w="1355" w:type="dxa"/>
            <w:tcBorders/>
            <w:shd w:fill="D5EAEA" w:val="clear"/>
            <w:vAlign w:val="center"/>
          </w:tcPr>
          <w:p>
            <w:pPr>
              <w:pStyle w:val="TableContents"/>
              <w:bidi w:val="0"/>
              <w:spacing w:before="0" w:after="283"/>
              <w:jc w:val="left"/>
              <w:rPr>
                <w:sz w:val="20"/>
              </w:rPr>
            </w:pPr>
            <w:r>
              <w:rPr>
                <w:sz w:val="20"/>
              </w:rPr>
              <w:t>Shares vested</w:t>
            </w:r>
          </w:p>
        </w:tc>
        <w:tc>
          <w:tcPr>
            <w:tcW w:w="485" w:type="dxa"/>
            <w:tcBorders/>
            <w:shd w:fill="D5EAEA" w:val="clear"/>
            <w:vAlign w:val="center"/>
          </w:tcPr>
          <w:p>
            <w:pPr>
              <w:pStyle w:val="TableContents"/>
              <w:bidi w:val="0"/>
              <w:spacing w:before="0" w:after="283"/>
              <w:jc w:val="center"/>
              <w:rPr>
                <w:sz w:val="20"/>
              </w:rPr>
            </w:pPr>
            <w:r>
              <w:rPr>
                <w:sz w:val="20"/>
              </w:rPr>
              <w:t>29(d)</w:t>
            </w:r>
          </w:p>
        </w:tc>
        <w:tc>
          <w:tcPr>
            <w:tcW w:w="650" w:type="dxa"/>
            <w:tcBorders/>
            <w:shd w:fill="D5EAEA" w:val="clear"/>
            <w:vAlign w:val="center"/>
          </w:tcPr>
          <w:p>
            <w:pPr>
              <w:pStyle w:val="TableContents"/>
              <w:bidi w:val="0"/>
              <w:spacing w:before="0" w:after="283"/>
              <w:jc w:val="right"/>
              <w:rPr>
                <w:sz w:val="20"/>
              </w:rPr>
            </w:pPr>
            <w:r>
              <w:rPr>
                <w:sz w:val="20"/>
              </w:rPr>
              <w:t>-</w:t>
            </w:r>
          </w:p>
        </w:tc>
        <w:tc>
          <w:tcPr>
            <w:tcW w:w="920" w:type="dxa"/>
            <w:tcBorders/>
            <w:shd w:fill="D5EAEA" w:val="clear"/>
            <w:vAlign w:val="center"/>
          </w:tcPr>
          <w:p>
            <w:pPr>
              <w:pStyle w:val="TableContents"/>
              <w:bidi w:val="0"/>
              <w:spacing w:before="0" w:after="283"/>
              <w:jc w:val="right"/>
              <w:rPr>
                <w:sz w:val="20"/>
              </w:rPr>
            </w:pPr>
            <w:r>
              <w:rPr>
                <w:sz w:val="20"/>
              </w:rPr>
              <w:t>-</w:t>
            </w:r>
          </w:p>
        </w:tc>
        <w:tc>
          <w:tcPr>
            <w:tcW w:w="725" w:type="dxa"/>
            <w:tcBorders/>
            <w:shd w:fill="D5EAEA" w:val="clear"/>
            <w:vAlign w:val="center"/>
          </w:tcPr>
          <w:p>
            <w:pPr>
              <w:pStyle w:val="TableContents"/>
              <w:bidi w:val="0"/>
              <w:spacing w:before="0" w:after="283"/>
              <w:jc w:val="right"/>
              <w:rPr>
                <w:sz w:val="20"/>
              </w:rPr>
            </w:pPr>
            <w:r>
              <w:rPr>
                <w:sz w:val="20"/>
              </w:rPr>
              <w:t>(235)</w:t>
            </w:r>
          </w:p>
        </w:tc>
        <w:tc>
          <w:tcPr>
            <w:tcW w:w="770"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sz w:val="20"/>
              </w:rPr>
            </w:pPr>
            <w:r>
              <w:rPr>
                <w:sz w:val="20"/>
              </w:rPr>
              <w:t>-</w:t>
            </w:r>
          </w:p>
        </w:tc>
        <w:tc>
          <w:tcPr>
            <w:tcW w:w="1010" w:type="dxa"/>
            <w:tcBorders/>
            <w:shd w:fill="D5EAEA" w:val="clear"/>
            <w:vAlign w:val="center"/>
          </w:tcPr>
          <w:p>
            <w:pPr>
              <w:pStyle w:val="TableContents"/>
              <w:bidi w:val="0"/>
              <w:spacing w:before="0" w:after="283"/>
              <w:jc w:val="right"/>
              <w:rPr>
                <w:sz w:val="20"/>
              </w:rPr>
            </w:pPr>
            <w:r>
              <w:rPr>
                <w:sz w:val="20"/>
              </w:rPr>
              <w:t>-</w:t>
            </w:r>
          </w:p>
        </w:tc>
        <w:tc>
          <w:tcPr>
            <w:tcW w:w="815" w:type="dxa"/>
            <w:tcBorders/>
            <w:shd w:fill="D5EAEA" w:val="clear"/>
            <w:vAlign w:val="center"/>
          </w:tcPr>
          <w:p>
            <w:pPr>
              <w:pStyle w:val="TableContents"/>
              <w:bidi w:val="0"/>
              <w:spacing w:before="0" w:after="283"/>
              <w:jc w:val="right"/>
              <w:rPr>
                <w:sz w:val="20"/>
              </w:rPr>
            </w:pPr>
            <w:r>
              <w:rPr>
                <w:sz w:val="20"/>
              </w:rPr>
              <w:t>-</w:t>
            </w:r>
          </w:p>
        </w:tc>
        <w:tc>
          <w:tcPr>
            <w:tcW w:w="1025" w:type="dxa"/>
            <w:tcBorders/>
            <w:shd w:fill="D5EAEA" w:val="clear"/>
            <w:vAlign w:val="center"/>
          </w:tcPr>
          <w:p>
            <w:pPr>
              <w:pStyle w:val="TableContents"/>
              <w:bidi w:val="0"/>
              <w:spacing w:before="0" w:after="283"/>
              <w:jc w:val="right"/>
              <w:rPr>
                <w:sz w:val="20"/>
              </w:rPr>
            </w:pPr>
            <w:r>
              <w:rPr>
                <w:sz w:val="20"/>
              </w:rPr>
              <w:t>(235)</w:t>
            </w:r>
          </w:p>
        </w:tc>
        <w:tc>
          <w:tcPr>
            <w:tcW w:w="137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sz w:val="20"/>
              </w:rPr>
            </w:pPr>
            <w:r>
              <w:rPr>
                <w:sz w:val="20"/>
              </w:rPr>
              <w:t>(235)</w:t>
            </w:r>
          </w:p>
        </w:tc>
      </w:tr>
      <w:tr>
        <w:trPr/>
        <w:tc>
          <w:tcPr>
            <w:tcW w:w="1355" w:type="dxa"/>
            <w:tcBorders/>
            <w:shd w:fill="FFFFFF" w:val="clear"/>
            <w:vAlign w:val="center"/>
          </w:tcPr>
          <w:p>
            <w:pPr>
              <w:pStyle w:val="TableContents"/>
              <w:bidi w:val="0"/>
              <w:spacing w:before="0" w:after="283"/>
              <w:jc w:val="left"/>
              <w:rPr>
                <w:sz w:val="20"/>
              </w:rPr>
            </w:pPr>
            <w:r>
              <w:rPr>
                <w:sz w:val="20"/>
              </w:rPr>
              <w:t>Bonus share plan</w:t>
            </w:r>
          </w:p>
        </w:tc>
        <w:tc>
          <w:tcPr>
            <w:tcW w:w="485" w:type="dxa"/>
            <w:tcBorders/>
            <w:shd w:fill="FFFFFF" w:val="clear"/>
            <w:vAlign w:val="center"/>
          </w:tcPr>
          <w:p>
            <w:pPr>
              <w:pStyle w:val="TableContents"/>
              <w:bidi w:val="0"/>
              <w:spacing w:before="0" w:after="283"/>
              <w:jc w:val="center"/>
              <w:rPr>
                <w:sz w:val="20"/>
              </w:rPr>
            </w:pPr>
            <w:r>
              <w:rPr>
                <w:sz w:val="20"/>
              </w:rPr>
              <w:t>29(d)</w:t>
            </w:r>
          </w:p>
        </w:tc>
        <w:tc>
          <w:tcPr>
            <w:tcW w:w="650" w:type="dxa"/>
            <w:tcBorders/>
            <w:shd w:fill="FFFFFF" w:val="clear"/>
            <w:vAlign w:val="center"/>
          </w:tcPr>
          <w:p>
            <w:pPr>
              <w:pStyle w:val="TableContents"/>
              <w:bidi w:val="0"/>
              <w:spacing w:before="0" w:after="283"/>
              <w:jc w:val="right"/>
              <w:rPr>
                <w:sz w:val="20"/>
              </w:rPr>
            </w:pPr>
            <w:r>
              <w:rPr>
                <w:sz w:val="20"/>
              </w:rPr>
              <w:t>-</w:t>
            </w:r>
          </w:p>
        </w:tc>
        <w:tc>
          <w:tcPr>
            <w:tcW w:w="920" w:type="dxa"/>
            <w:tcBorders/>
            <w:shd w:fill="FFFFFF" w:val="clear"/>
            <w:vAlign w:val="center"/>
          </w:tcPr>
          <w:p>
            <w:pPr>
              <w:pStyle w:val="TableContents"/>
              <w:bidi w:val="0"/>
              <w:spacing w:before="0" w:after="283"/>
              <w:jc w:val="right"/>
              <w:rPr>
                <w:sz w:val="20"/>
              </w:rPr>
            </w:pPr>
            <w:r>
              <w:rPr>
                <w:sz w:val="20"/>
              </w:rPr>
              <w:t>-</w:t>
            </w:r>
          </w:p>
        </w:tc>
        <w:tc>
          <w:tcPr>
            <w:tcW w:w="725" w:type="dxa"/>
            <w:tcBorders/>
            <w:shd w:fill="FFFFFF" w:val="clear"/>
            <w:vAlign w:val="center"/>
          </w:tcPr>
          <w:p>
            <w:pPr>
              <w:pStyle w:val="TableContents"/>
              <w:bidi w:val="0"/>
              <w:spacing w:before="0" w:after="283"/>
              <w:jc w:val="right"/>
              <w:rPr>
                <w:sz w:val="20"/>
              </w:rPr>
            </w:pPr>
            <w:r>
              <w:rPr>
                <w:sz w:val="20"/>
              </w:rPr>
              <w:t>(11,627)</w:t>
            </w:r>
          </w:p>
        </w:tc>
        <w:tc>
          <w:tcPr>
            <w:tcW w:w="770" w:type="dxa"/>
            <w:tcBorders/>
            <w:shd w:fill="FFFFFF" w:val="clear"/>
            <w:vAlign w:val="center"/>
          </w:tcPr>
          <w:p>
            <w:pPr>
              <w:pStyle w:val="TableContents"/>
              <w:bidi w:val="0"/>
              <w:spacing w:before="0" w:after="283"/>
              <w:jc w:val="right"/>
              <w:rPr>
                <w:sz w:val="20"/>
              </w:rPr>
            </w:pPr>
            <w:r>
              <w:rPr>
                <w:sz w:val="20"/>
              </w:rPr>
              <w:t>-</w:t>
            </w:r>
          </w:p>
        </w:tc>
        <w:tc>
          <w:tcPr>
            <w:tcW w:w="770" w:type="dxa"/>
            <w:tcBorders/>
            <w:shd w:fill="FFFFFF" w:val="clear"/>
            <w:vAlign w:val="center"/>
          </w:tcPr>
          <w:p>
            <w:pPr>
              <w:pStyle w:val="TableContents"/>
              <w:bidi w:val="0"/>
              <w:spacing w:before="0" w:after="283"/>
              <w:jc w:val="righ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w:t>
            </w:r>
          </w:p>
        </w:tc>
        <w:tc>
          <w:tcPr>
            <w:tcW w:w="815" w:type="dxa"/>
            <w:tcBorders/>
            <w:shd w:fill="FFFFFF" w:val="clear"/>
            <w:vAlign w:val="center"/>
          </w:tcPr>
          <w:p>
            <w:pPr>
              <w:pStyle w:val="TableContents"/>
              <w:bidi w:val="0"/>
              <w:spacing w:before="0" w:after="283"/>
              <w:jc w:val="righ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(11,627)</w:t>
            </w:r>
          </w:p>
        </w:tc>
        <w:tc>
          <w:tcPr>
            <w:tcW w:w="1370" w:type="dxa"/>
            <w:tcBorders/>
            <w:shd w:fill="FFFFFF" w:val="clear"/>
            <w:vAlign w:val="center"/>
          </w:tcPr>
          <w:p>
            <w:pPr>
              <w:pStyle w:val="TableContents"/>
              <w:bidi w:val="0"/>
              <w:spacing w:before="0" w:after="283"/>
              <w:jc w:val="right"/>
              <w:rPr>
                <w:sz w:val="20"/>
              </w:rPr>
            </w:pPr>
            <w:r>
              <w:rPr>
                <w:sz w:val="20"/>
              </w:rPr>
              <w:t>-</w:t>
            </w:r>
          </w:p>
        </w:tc>
        <w:tc>
          <w:tcPr>
            <w:tcW w:w="710" w:type="dxa"/>
            <w:tcBorders/>
            <w:shd w:fill="FFFFFF" w:val="clear"/>
            <w:vAlign w:val="center"/>
          </w:tcPr>
          <w:p>
            <w:pPr>
              <w:pStyle w:val="TableContents"/>
              <w:bidi w:val="0"/>
              <w:spacing w:before="0" w:after="283"/>
              <w:jc w:val="right"/>
              <w:rPr>
                <w:sz w:val="20"/>
              </w:rPr>
            </w:pPr>
            <w:r>
              <w:rPr>
                <w:sz w:val="20"/>
              </w:rPr>
              <w:t>(11,627)</w:t>
            </w:r>
          </w:p>
        </w:tc>
      </w:tr>
      <w:tr>
        <w:trPr/>
        <w:tc>
          <w:tcPr>
            <w:tcW w:w="1355" w:type="dxa"/>
            <w:tcBorders/>
            <w:shd w:fill="D5EAEA" w:val="clear"/>
            <w:vAlign w:val="center"/>
          </w:tcPr>
          <w:p>
            <w:pPr>
              <w:pStyle w:val="TableContents"/>
              <w:bidi w:val="0"/>
              <w:spacing w:before="0" w:after="283"/>
              <w:jc w:val="left"/>
              <w:rPr>
                <w:sz w:val="20"/>
              </w:rPr>
            </w:pPr>
            <w:r>
              <w:rPr>
                <w:sz w:val="20"/>
              </w:rPr>
              <w:t xml:space="preserve">Capital issuance </w:t>
            </w:r>
          </w:p>
        </w:tc>
        <w:tc>
          <w:tcPr>
            <w:tcW w:w="485" w:type="dxa"/>
            <w:tcBorders/>
            <w:shd w:fill="D5EAEA" w:val="clear"/>
            <w:vAlign w:val="center"/>
          </w:tcPr>
          <w:p>
            <w:pPr>
              <w:pStyle w:val="TableContents"/>
              <w:bidi w:val="0"/>
              <w:spacing w:before="0" w:after="283"/>
              <w:jc w:val="center"/>
              <w:rPr>
                <w:sz w:val="20"/>
              </w:rPr>
            </w:pPr>
            <w:r>
              <w:rPr>
                <w:sz w:val="20"/>
              </w:rPr>
              <w:t>29(b)</w:t>
            </w:r>
          </w:p>
        </w:tc>
        <w:tc>
          <w:tcPr>
            <w:tcW w:w="650" w:type="dxa"/>
            <w:tcBorders/>
            <w:shd w:fill="D5EAEA" w:val="clear"/>
            <w:vAlign w:val="center"/>
          </w:tcPr>
          <w:p>
            <w:pPr>
              <w:pStyle w:val="TableContents"/>
              <w:bidi w:val="0"/>
              <w:spacing w:before="0" w:after="283"/>
              <w:jc w:val="right"/>
              <w:rPr>
                <w:sz w:val="20"/>
              </w:rPr>
            </w:pPr>
            <w:r>
              <w:rPr>
                <w:sz w:val="20"/>
              </w:rPr>
              <w:t>1</w:t>
            </w:r>
          </w:p>
        </w:tc>
        <w:tc>
          <w:tcPr>
            <w:tcW w:w="920" w:type="dxa"/>
            <w:tcBorders/>
            <w:shd w:fill="D5EAEA" w:val="clear"/>
            <w:vAlign w:val="center"/>
          </w:tcPr>
          <w:p>
            <w:pPr>
              <w:pStyle w:val="TableContents"/>
              <w:bidi w:val="0"/>
              <w:spacing w:before="0" w:after="283"/>
              <w:jc w:val="right"/>
              <w:rPr>
                <w:sz w:val="20"/>
              </w:rPr>
            </w:pPr>
            <w:r>
              <w:rPr>
                <w:sz w:val="20"/>
              </w:rPr>
              <w:t>71,656</w:t>
            </w:r>
          </w:p>
        </w:tc>
        <w:tc>
          <w:tcPr>
            <w:tcW w:w="725"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sz w:val="20"/>
              </w:rPr>
            </w:pPr>
            <w:r>
              <w:rPr>
                <w:sz w:val="20"/>
              </w:rPr>
              <w:t>-</w:t>
            </w:r>
          </w:p>
        </w:tc>
        <w:tc>
          <w:tcPr>
            <w:tcW w:w="1010" w:type="dxa"/>
            <w:tcBorders/>
            <w:shd w:fill="D5EAEA" w:val="clear"/>
            <w:vAlign w:val="center"/>
          </w:tcPr>
          <w:p>
            <w:pPr>
              <w:pStyle w:val="TableContents"/>
              <w:bidi w:val="0"/>
              <w:spacing w:before="0" w:after="283"/>
              <w:jc w:val="right"/>
              <w:rPr>
                <w:sz w:val="20"/>
              </w:rPr>
            </w:pPr>
            <w:r>
              <w:rPr>
                <w:sz w:val="20"/>
              </w:rPr>
              <w:t>-</w:t>
            </w:r>
          </w:p>
        </w:tc>
        <w:tc>
          <w:tcPr>
            <w:tcW w:w="815" w:type="dxa"/>
            <w:tcBorders/>
            <w:shd w:fill="D5EAEA" w:val="clear"/>
            <w:vAlign w:val="center"/>
          </w:tcPr>
          <w:p>
            <w:pPr>
              <w:pStyle w:val="TableContents"/>
              <w:bidi w:val="0"/>
              <w:spacing w:before="0" w:after="283"/>
              <w:jc w:val="right"/>
              <w:rPr>
                <w:sz w:val="20"/>
              </w:rPr>
            </w:pPr>
            <w:r>
              <w:rPr>
                <w:sz w:val="20"/>
              </w:rPr>
              <w:t>-</w:t>
            </w:r>
          </w:p>
        </w:tc>
        <w:tc>
          <w:tcPr>
            <w:tcW w:w="1025" w:type="dxa"/>
            <w:tcBorders/>
            <w:shd w:fill="D5EAEA" w:val="clear"/>
            <w:vAlign w:val="center"/>
          </w:tcPr>
          <w:p>
            <w:pPr>
              <w:pStyle w:val="TableContents"/>
              <w:bidi w:val="0"/>
              <w:spacing w:before="0" w:after="283"/>
              <w:jc w:val="right"/>
              <w:rPr>
                <w:sz w:val="20"/>
              </w:rPr>
            </w:pPr>
            <w:r>
              <w:rPr>
                <w:sz w:val="20"/>
              </w:rPr>
              <w:t>71,657</w:t>
            </w:r>
          </w:p>
        </w:tc>
        <w:tc>
          <w:tcPr>
            <w:tcW w:w="137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sz w:val="20"/>
              </w:rPr>
            </w:pPr>
            <w:r>
              <w:rPr>
                <w:sz w:val="20"/>
              </w:rPr>
              <w:t>71,657</w:t>
            </w:r>
          </w:p>
        </w:tc>
      </w:tr>
      <w:tr>
        <w:trPr/>
        <w:tc>
          <w:tcPr>
            <w:tcW w:w="1355" w:type="dxa"/>
            <w:tcBorders/>
            <w:shd w:fill="FFFFFF" w:val="clear"/>
            <w:vAlign w:val="center"/>
          </w:tcPr>
          <w:p>
            <w:pPr>
              <w:pStyle w:val="TableContents"/>
              <w:bidi w:val="0"/>
              <w:spacing w:before="0" w:after="283"/>
              <w:jc w:val="left"/>
              <w:rPr>
                <w:sz w:val="20"/>
              </w:rPr>
            </w:pPr>
            <w:r>
              <w:rPr>
                <w:sz w:val="20"/>
              </w:rPr>
              <w:t>Capital contributions</w:t>
            </w:r>
          </w:p>
        </w:tc>
        <w:tc>
          <w:tcPr>
            <w:tcW w:w="485"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920" w:type="dxa"/>
            <w:tcBorders/>
            <w:shd w:fill="FFFFFF" w:val="clear"/>
            <w:vAlign w:val="center"/>
          </w:tcPr>
          <w:p>
            <w:pPr>
              <w:pStyle w:val="TableContents"/>
              <w:bidi w:val="0"/>
              <w:spacing w:before="0" w:after="283"/>
              <w:jc w:val="right"/>
              <w:rPr>
                <w:sz w:val="20"/>
              </w:rPr>
            </w:pPr>
            <w:r>
              <w:rPr>
                <w:sz w:val="20"/>
              </w:rPr>
              <w:t>-</w:t>
            </w:r>
          </w:p>
        </w:tc>
        <w:tc>
          <w:tcPr>
            <w:tcW w:w="725" w:type="dxa"/>
            <w:tcBorders/>
            <w:shd w:fill="FFFFFF" w:val="clear"/>
            <w:vAlign w:val="center"/>
          </w:tcPr>
          <w:p>
            <w:pPr>
              <w:pStyle w:val="TableContents"/>
              <w:bidi w:val="0"/>
              <w:spacing w:before="0" w:after="283"/>
              <w:jc w:val="right"/>
              <w:rPr>
                <w:sz w:val="20"/>
              </w:rPr>
            </w:pPr>
            <w:r>
              <w:rPr>
                <w:sz w:val="20"/>
              </w:rPr>
              <w:t>-</w:t>
            </w:r>
          </w:p>
        </w:tc>
        <w:tc>
          <w:tcPr>
            <w:tcW w:w="770" w:type="dxa"/>
            <w:tcBorders/>
            <w:shd w:fill="FFFFFF" w:val="clear"/>
            <w:vAlign w:val="center"/>
          </w:tcPr>
          <w:p>
            <w:pPr>
              <w:pStyle w:val="TableContents"/>
              <w:bidi w:val="0"/>
              <w:spacing w:before="0" w:after="283"/>
              <w:jc w:val="right"/>
              <w:rPr>
                <w:sz w:val="20"/>
              </w:rPr>
            </w:pPr>
            <w:r>
              <w:rPr>
                <w:sz w:val="20"/>
              </w:rPr>
              <w:t>-</w:t>
            </w:r>
          </w:p>
        </w:tc>
        <w:tc>
          <w:tcPr>
            <w:tcW w:w="770" w:type="dxa"/>
            <w:tcBorders/>
            <w:shd w:fill="FFFFFF" w:val="clear"/>
            <w:vAlign w:val="center"/>
          </w:tcPr>
          <w:p>
            <w:pPr>
              <w:pStyle w:val="TableContents"/>
              <w:bidi w:val="0"/>
              <w:spacing w:before="0" w:after="283"/>
              <w:jc w:val="righ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w:t>
            </w:r>
          </w:p>
        </w:tc>
        <w:tc>
          <w:tcPr>
            <w:tcW w:w="815" w:type="dxa"/>
            <w:tcBorders/>
            <w:shd w:fill="FFFFFF" w:val="clear"/>
            <w:vAlign w:val="center"/>
          </w:tcPr>
          <w:p>
            <w:pPr>
              <w:pStyle w:val="TableContents"/>
              <w:bidi w:val="0"/>
              <w:spacing w:before="0" w:after="283"/>
              <w:jc w:val="righ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w:t>
            </w:r>
          </w:p>
        </w:tc>
        <w:tc>
          <w:tcPr>
            <w:tcW w:w="1370" w:type="dxa"/>
            <w:tcBorders/>
            <w:shd w:fill="FFFFFF" w:val="clear"/>
            <w:vAlign w:val="center"/>
          </w:tcPr>
          <w:p>
            <w:pPr>
              <w:pStyle w:val="TableContents"/>
              <w:bidi w:val="0"/>
              <w:spacing w:before="0" w:after="283"/>
              <w:jc w:val="right"/>
              <w:rPr>
                <w:sz w:val="20"/>
              </w:rPr>
            </w:pPr>
            <w:r>
              <w:rPr>
                <w:sz w:val="20"/>
              </w:rPr>
              <w:t>3,506</w:t>
            </w:r>
          </w:p>
        </w:tc>
        <w:tc>
          <w:tcPr>
            <w:tcW w:w="710" w:type="dxa"/>
            <w:tcBorders/>
            <w:shd w:fill="FFFFFF" w:val="clear"/>
            <w:vAlign w:val="center"/>
          </w:tcPr>
          <w:p>
            <w:pPr>
              <w:pStyle w:val="TableContents"/>
              <w:bidi w:val="0"/>
              <w:spacing w:before="0" w:after="283"/>
              <w:jc w:val="right"/>
              <w:rPr>
                <w:sz w:val="20"/>
              </w:rPr>
            </w:pPr>
            <w:r>
              <w:rPr>
                <w:sz w:val="20"/>
              </w:rPr>
              <w:t>3,506</w:t>
            </w:r>
          </w:p>
        </w:tc>
      </w:tr>
      <w:tr>
        <w:trPr/>
        <w:tc>
          <w:tcPr>
            <w:tcW w:w="1355" w:type="dxa"/>
            <w:tcBorders/>
            <w:shd w:fill="D5EAEA" w:val="clear"/>
            <w:vAlign w:val="center"/>
          </w:tcPr>
          <w:p>
            <w:pPr>
              <w:pStyle w:val="TableContents"/>
              <w:bidi w:val="0"/>
              <w:spacing w:before="0" w:after="283"/>
              <w:jc w:val="left"/>
              <w:rPr/>
            </w:pPr>
            <w:r>
              <w:rPr/>
              <w:t> </w:t>
            </w:r>
          </w:p>
        </w:tc>
        <w:tc>
          <w:tcPr>
            <w:tcW w:w="485" w:type="dxa"/>
            <w:tcBorders/>
            <w:shd w:fill="D5EAEA" w:val="clear"/>
            <w:vAlign w:val="center"/>
          </w:tcPr>
          <w:p>
            <w:pPr>
              <w:pStyle w:val="TableContents"/>
              <w:bidi w:val="0"/>
              <w:spacing w:before="0" w:after="283"/>
              <w:jc w:val="center"/>
              <w:rPr/>
            </w:pPr>
            <w:r>
              <w:rPr/>
              <w:t> </w:t>
            </w:r>
          </w:p>
        </w:tc>
        <w:tc>
          <w:tcPr>
            <w:tcW w:w="65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92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725"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77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77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101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815" w:type="dxa"/>
            <w:tcBorders/>
            <w:shd w:fill="D5EAEA" w:val="clear"/>
            <w:vAlign w:val="center"/>
          </w:tcPr>
          <w:p>
            <w:pPr>
              <w:pStyle w:val="TableContents"/>
              <w:bidi w:val="0"/>
              <w:spacing w:before="0" w:after="283"/>
              <w:jc w:val="right"/>
              <w:rPr/>
            </w:pPr>
            <w:r>
              <w:rPr/>
              <w:t> </w:t>
            </w:r>
          </w:p>
        </w:tc>
        <w:tc>
          <w:tcPr>
            <w:tcW w:w="1025"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137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r>
      <w:tr>
        <w:trPr/>
        <w:tc>
          <w:tcPr>
            <w:tcW w:w="1355" w:type="dxa"/>
            <w:tcBorders/>
            <w:shd w:fill="FFFFFF" w:val="clear"/>
            <w:vAlign w:val="center"/>
          </w:tcPr>
          <w:p>
            <w:pPr>
              <w:pStyle w:val="TableContents"/>
              <w:bidi w:val="0"/>
              <w:spacing w:before="0" w:after="283"/>
              <w:jc w:val="left"/>
              <w:rPr>
                <w:b/>
                <w:sz w:val="20"/>
              </w:rPr>
            </w:pPr>
            <w:r>
              <w:rPr>
                <w:b/>
                <w:sz w:val="20"/>
              </w:rPr>
              <w:t>Balance on June 30, 2025</w:t>
            </w:r>
          </w:p>
        </w:tc>
        <w:tc>
          <w:tcPr>
            <w:tcW w:w="485" w:type="dxa"/>
            <w:tcBorders/>
            <w:shd w:fill="FFFFFF" w:val="clear"/>
            <w:vAlign w:val="center"/>
          </w:tcPr>
          <w:p>
            <w:pPr>
              <w:pStyle w:val="TableContents"/>
              <w:bidi w:val="0"/>
              <w:spacing w:before="0" w:after="283"/>
              <w:jc w:val="center"/>
              <w:rPr/>
            </w:pPr>
            <w:r>
              <w:rPr/>
              <w:t> </w:t>
            </w:r>
          </w:p>
        </w:tc>
        <w:tc>
          <w:tcPr>
            <w:tcW w:w="650"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16</w:t>
            </w:r>
          </w:p>
        </w:tc>
        <w:tc>
          <w:tcPr>
            <w:tcW w:w="920"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580,109</w:t>
            </w:r>
          </w:p>
        </w:tc>
        <w:tc>
          <w:tcPr>
            <w:tcW w:w="725"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17,618</w:t>
            </w:r>
          </w:p>
        </w:tc>
        <w:tc>
          <w:tcPr>
            <w:tcW w:w="770"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770"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1010"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(22,650)</w:t>
            </w:r>
          </w:p>
        </w:tc>
        <w:tc>
          <w:tcPr>
            <w:tcW w:w="815" w:type="dxa"/>
            <w:tcBorders>
              <w:top w:val="single" w:sz="8" w:space="0" w:color="000000"/>
              <w:bottom w:val="double" w:sz="4"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w:t>
            </w:r>
          </w:p>
        </w:tc>
        <w:tc>
          <w:tcPr>
            <w:tcW w:w="1025"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575,093</w:t>
            </w:r>
          </w:p>
        </w:tc>
        <w:tc>
          <w:tcPr>
            <w:tcW w:w="1370"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13,664</w:t>
            </w:r>
          </w:p>
        </w:tc>
        <w:tc>
          <w:tcPr>
            <w:tcW w:w="710"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588,757</w:t>
            </w:r>
          </w:p>
        </w:tc>
      </w:tr>
      <w:tr>
        <w:trPr/>
        <w:tc>
          <w:tcPr>
            <w:tcW w:w="1355" w:type="dxa"/>
            <w:tcBorders/>
            <w:shd w:fill="D5EAEA" w:val="clear"/>
            <w:vAlign w:val="center"/>
          </w:tcPr>
          <w:p>
            <w:pPr>
              <w:pStyle w:val="TableContents"/>
              <w:bidi w:val="0"/>
              <w:spacing w:before="0" w:after="283"/>
              <w:jc w:val="left"/>
              <w:rPr/>
            </w:pPr>
            <w:r>
              <w:rPr/>
              <w:t> </w:t>
            </w:r>
          </w:p>
        </w:tc>
        <w:tc>
          <w:tcPr>
            <w:tcW w:w="485" w:type="dxa"/>
            <w:tcBorders/>
            <w:shd w:fill="D5EAEA" w:val="clear"/>
            <w:vAlign w:val="center"/>
          </w:tcPr>
          <w:p>
            <w:pPr>
              <w:pStyle w:val="TableContents"/>
              <w:bidi w:val="0"/>
              <w:spacing w:before="0" w:after="283"/>
              <w:jc w:val="center"/>
              <w:rPr/>
            </w:pPr>
            <w:r>
              <w:rPr/>
              <w:t> </w:t>
            </w:r>
          </w:p>
        </w:tc>
        <w:tc>
          <w:tcPr>
            <w:tcW w:w="650" w:type="dxa"/>
            <w:tcBorders/>
            <w:shd w:fill="D5EAEA" w:val="clear"/>
            <w:vAlign w:val="center"/>
          </w:tcPr>
          <w:p>
            <w:pPr>
              <w:pStyle w:val="TableContents"/>
              <w:bidi w:val="0"/>
              <w:spacing w:before="0" w:after="283"/>
              <w:jc w:val="right"/>
              <w:rPr/>
            </w:pPr>
            <w:r>
              <w:rPr/>
              <w:t> </w:t>
            </w:r>
          </w:p>
        </w:tc>
        <w:tc>
          <w:tcPr>
            <w:tcW w:w="920" w:type="dxa"/>
            <w:tcBorders/>
            <w:shd w:fill="D5EAEA" w:val="clear"/>
            <w:vAlign w:val="center"/>
          </w:tcPr>
          <w:p>
            <w:pPr>
              <w:pStyle w:val="TableContents"/>
              <w:bidi w:val="0"/>
              <w:spacing w:before="0" w:after="283"/>
              <w:jc w:val="right"/>
              <w:rPr/>
            </w:pPr>
            <w:r>
              <w:rPr/>
              <w:t> </w:t>
            </w:r>
          </w:p>
        </w:tc>
        <w:tc>
          <w:tcPr>
            <w:tcW w:w="725" w:type="dxa"/>
            <w:tcBorders/>
            <w:shd w:fill="D5EAEA" w:val="clear"/>
            <w:vAlign w:val="center"/>
          </w:tcPr>
          <w:p>
            <w:pPr>
              <w:pStyle w:val="TableContents"/>
              <w:bidi w:val="0"/>
              <w:spacing w:before="0" w:after="283"/>
              <w:jc w:val="right"/>
              <w:rPr/>
            </w:pPr>
            <w:r>
              <w:rPr/>
              <w:t> </w:t>
            </w:r>
          </w:p>
        </w:tc>
        <w:tc>
          <w:tcPr>
            <w:tcW w:w="770" w:type="dxa"/>
            <w:tcBorders/>
            <w:shd w:fill="D5EAEA" w:val="clear"/>
            <w:vAlign w:val="center"/>
          </w:tcPr>
          <w:p>
            <w:pPr>
              <w:pStyle w:val="TableContents"/>
              <w:bidi w:val="0"/>
              <w:spacing w:before="0" w:after="283"/>
              <w:jc w:val="right"/>
              <w:rPr/>
            </w:pPr>
            <w:r>
              <w:rPr/>
              <w:t> </w:t>
            </w:r>
          </w:p>
        </w:tc>
        <w:tc>
          <w:tcPr>
            <w:tcW w:w="77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jc w:val="right"/>
              <w:rPr/>
            </w:pPr>
            <w:r>
              <w:rPr/>
              <w:t> </w:t>
            </w:r>
          </w:p>
        </w:tc>
        <w:tc>
          <w:tcPr>
            <w:tcW w:w="815"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pPr>
            <w:r>
              <w:rPr/>
              <w:t> </w:t>
            </w:r>
          </w:p>
        </w:tc>
        <w:tc>
          <w:tcPr>
            <w:tcW w:w="1370" w:type="dxa"/>
            <w:tcBorders/>
            <w:shd w:fill="D5EAEA" w:val="clear"/>
            <w:vAlign w:val="center"/>
          </w:tcPr>
          <w:p>
            <w:pPr>
              <w:pStyle w:val="TableContents"/>
              <w:bidi w:val="0"/>
              <w:spacing w:before="0" w:after="283"/>
              <w:jc w:val="right"/>
              <w:rPr/>
            </w:pPr>
            <w:r>
              <w:rPr/>
              <w:t> </w:t>
            </w:r>
          </w:p>
        </w:tc>
        <w:tc>
          <w:tcPr>
            <w:tcW w:w="710" w:type="dxa"/>
            <w:tcBorders/>
            <w:shd w:fill="D5EAEA" w:val="clear"/>
            <w:vAlign w:val="center"/>
          </w:tcPr>
          <w:p>
            <w:pPr>
              <w:pStyle w:val="TableContents"/>
              <w:bidi w:val="0"/>
              <w:spacing w:before="0" w:after="283"/>
              <w:jc w:val="right"/>
              <w:rPr/>
            </w:pPr>
            <w:r>
              <w:rPr/>
              <w:t> </w:t>
            </w:r>
          </w:p>
        </w:tc>
      </w:tr>
      <w:tr>
        <w:trPr/>
        <w:tc>
          <w:tcPr>
            <w:tcW w:w="1355" w:type="dxa"/>
            <w:tcBorders/>
            <w:shd w:fill="FFFFFF" w:val="clear"/>
            <w:vAlign w:val="center"/>
          </w:tcPr>
          <w:p>
            <w:pPr>
              <w:pStyle w:val="TableContents"/>
              <w:bidi w:val="0"/>
              <w:spacing w:before="0" w:after="283"/>
              <w:jc w:val="left"/>
              <w:rPr>
                <w:b/>
                <w:sz w:val="20"/>
              </w:rPr>
            </w:pPr>
            <w:r>
              <w:rPr>
                <w:b/>
                <w:sz w:val="20"/>
              </w:rPr>
              <w:t>Balance on December 31, 2025</w:t>
            </w:r>
          </w:p>
        </w:tc>
        <w:tc>
          <w:tcPr>
            <w:tcW w:w="485" w:type="dxa"/>
            <w:tcBorders/>
            <w:shd w:fill="FFFFFF" w:val="clear"/>
            <w:vAlign w:val="center"/>
          </w:tcPr>
          <w:p>
            <w:pPr>
              <w:pStyle w:val="TableContents"/>
              <w:bidi w:val="0"/>
              <w:spacing w:before="0" w:after="283"/>
              <w:jc w:val="center"/>
              <w:rPr/>
            </w:pPr>
            <w:r>
              <w:rPr/>
              <w:t> </w:t>
            </w:r>
          </w:p>
        </w:tc>
        <w:tc>
          <w:tcPr>
            <w:tcW w:w="65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16</w:t>
            </w:r>
          </w:p>
        </w:tc>
        <w:tc>
          <w:tcPr>
            <w:tcW w:w="92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589,404</w:t>
            </w:r>
          </w:p>
        </w:tc>
        <w:tc>
          <w:tcPr>
            <w:tcW w:w="7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46,646</w:t>
            </w:r>
          </w:p>
        </w:tc>
        <w:tc>
          <w:tcPr>
            <w:tcW w:w="77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w:t>
            </w:r>
          </w:p>
        </w:tc>
        <w:tc>
          <w:tcPr>
            <w:tcW w:w="77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w:t>
            </w:r>
          </w:p>
        </w:tc>
        <w:tc>
          <w:tcPr>
            <w:tcW w:w="101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(24,316)</w:t>
            </w:r>
          </w:p>
        </w:tc>
        <w:tc>
          <w:tcPr>
            <w:tcW w:w="81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w:t>
            </w:r>
          </w:p>
        </w:tc>
        <w:tc>
          <w:tcPr>
            <w:tcW w:w="10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611,750</w:t>
            </w:r>
          </w:p>
        </w:tc>
        <w:tc>
          <w:tcPr>
            <w:tcW w:w="137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21,669</w:t>
            </w:r>
          </w:p>
        </w:tc>
        <w:tc>
          <w:tcPr>
            <w:tcW w:w="71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633,419</w:t>
            </w:r>
          </w:p>
        </w:tc>
      </w:tr>
      <w:tr>
        <w:trPr/>
        <w:tc>
          <w:tcPr>
            <w:tcW w:w="1355" w:type="dxa"/>
            <w:tcBorders/>
            <w:shd w:fill="D5EAEA" w:val="clear"/>
            <w:vAlign w:val="center"/>
          </w:tcPr>
          <w:p>
            <w:pPr>
              <w:pStyle w:val="TableContents"/>
              <w:bidi w:val="0"/>
              <w:spacing w:before="0" w:after="283"/>
              <w:jc w:val="left"/>
              <w:rPr>
                <w:sz w:val="20"/>
              </w:rPr>
            </w:pPr>
            <w:r>
              <w:rPr>
                <w:sz w:val="20"/>
              </w:rPr>
              <w:t xml:space="preserve">Cumulative translation adjustment </w:t>
            </w:r>
          </w:p>
        </w:tc>
        <w:tc>
          <w:tcPr>
            <w:tcW w:w="485" w:type="dxa"/>
            <w:tcBorders/>
            <w:shd w:fill="D5EAEA" w:val="clear"/>
            <w:vAlign w:val="center"/>
          </w:tcPr>
          <w:p>
            <w:pPr>
              <w:pStyle w:val="TableContents"/>
              <w:bidi w:val="0"/>
              <w:spacing w:before="0" w:after="283"/>
              <w:jc w:val="center"/>
              <w:rPr/>
            </w:pPr>
            <w:r>
              <w:rPr/>
              <w:t> </w:t>
            </w:r>
          </w:p>
        </w:tc>
        <w:tc>
          <w:tcPr>
            <w:tcW w:w="650" w:type="dxa"/>
            <w:tcBorders/>
            <w:shd w:fill="D5EAEA" w:val="clear"/>
            <w:vAlign w:val="center"/>
          </w:tcPr>
          <w:p>
            <w:pPr>
              <w:pStyle w:val="TableContents"/>
              <w:bidi w:val="0"/>
              <w:spacing w:before="0" w:after="283"/>
              <w:jc w:val="right"/>
              <w:rPr>
                <w:sz w:val="20"/>
              </w:rPr>
            </w:pPr>
            <w:r>
              <w:rPr>
                <w:sz w:val="20"/>
              </w:rPr>
              <w:t>-</w:t>
            </w:r>
          </w:p>
        </w:tc>
        <w:tc>
          <w:tcPr>
            <w:tcW w:w="920" w:type="dxa"/>
            <w:tcBorders/>
            <w:shd w:fill="D5EAEA" w:val="clear"/>
            <w:vAlign w:val="center"/>
          </w:tcPr>
          <w:p>
            <w:pPr>
              <w:pStyle w:val="TableContents"/>
              <w:bidi w:val="0"/>
              <w:spacing w:before="0" w:after="283"/>
              <w:jc w:val="right"/>
              <w:rPr>
                <w:sz w:val="20"/>
              </w:rPr>
            </w:pPr>
            <w:r>
              <w:rPr>
                <w:sz w:val="20"/>
              </w:rPr>
              <w:t>-</w:t>
            </w:r>
          </w:p>
        </w:tc>
        <w:tc>
          <w:tcPr>
            <w:tcW w:w="725"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sz w:val="20"/>
              </w:rPr>
            </w:pPr>
            <w:r>
              <w:rPr>
                <w:sz w:val="20"/>
              </w:rPr>
              <w:t>-</w:t>
            </w:r>
          </w:p>
        </w:tc>
        <w:tc>
          <w:tcPr>
            <w:tcW w:w="1010" w:type="dxa"/>
            <w:tcBorders/>
            <w:shd w:fill="D5EAEA" w:val="clear"/>
            <w:vAlign w:val="center"/>
          </w:tcPr>
          <w:p>
            <w:pPr>
              <w:pStyle w:val="TableContents"/>
              <w:bidi w:val="0"/>
              <w:spacing w:before="0" w:after="283"/>
              <w:jc w:val="right"/>
              <w:rPr>
                <w:sz w:val="20"/>
              </w:rPr>
            </w:pPr>
            <w:r>
              <w:rPr>
                <w:sz w:val="20"/>
              </w:rPr>
              <w:t>(4,119)</w:t>
            </w:r>
          </w:p>
        </w:tc>
        <w:tc>
          <w:tcPr>
            <w:tcW w:w="815" w:type="dxa"/>
            <w:tcBorders/>
            <w:shd w:fill="D5EAEA" w:val="clear"/>
            <w:vAlign w:val="center"/>
          </w:tcPr>
          <w:p>
            <w:pPr>
              <w:pStyle w:val="TableContents"/>
              <w:bidi w:val="0"/>
              <w:spacing w:before="0" w:after="283"/>
              <w:jc w:val="right"/>
              <w:rPr>
                <w:sz w:val="20"/>
              </w:rPr>
            </w:pPr>
            <w:r>
              <w:rPr>
                <w:sz w:val="20"/>
              </w:rPr>
              <w:t>-</w:t>
            </w:r>
          </w:p>
        </w:tc>
        <w:tc>
          <w:tcPr>
            <w:tcW w:w="1025" w:type="dxa"/>
            <w:tcBorders/>
            <w:shd w:fill="D5EAEA" w:val="clear"/>
            <w:vAlign w:val="center"/>
          </w:tcPr>
          <w:p>
            <w:pPr>
              <w:pStyle w:val="TableContents"/>
              <w:bidi w:val="0"/>
              <w:spacing w:before="0" w:after="283"/>
              <w:jc w:val="right"/>
              <w:rPr>
                <w:sz w:val="20"/>
              </w:rPr>
            </w:pPr>
            <w:r>
              <w:rPr>
                <w:sz w:val="20"/>
              </w:rPr>
              <w:t>(4,119)</w:t>
            </w:r>
          </w:p>
        </w:tc>
        <w:tc>
          <w:tcPr>
            <w:tcW w:w="1370" w:type="dxa"/>
            <w:tcBorders/>
            <w:shd w:fill="D5EAEA" w:val="clear"/>
            <w:vAlign w:val="center"/>
          </w:tcPr>
          <w:p>
            <w:pPr>
              <w:pStyle w:val="TableContents"/>
              <w:bidi w:val="0"/>
              <w:spacing w:before="0" w:after="283"/>
              <w:jc w:val="right"/>
              <w:rPr>
                <w:sz w:val="20"/>
              </w:rPr>
            </w:pPr>
            <w:r>
              <w:rPr>
                <w:sz w:val="20"/>
              </w:rPr>
              <w:t>3,189</w:t>
            </w:r>
          </w:p>
        </w:tc>
        <w:tc>
          <w:tcPr>
            <w:tcW w:w="710" w:type="dxa"/>
            <w:tcBorders/>
            <w:shd w:fill="D5EAEA" w:val="clear"/>
            <w:vAlign w:val="center"/>
          </w:tcPr>
          <w:p>
            <w:pPr>
              <w:pStyle w:val="TableContents"/>
              <w:bidi w:val="0"/>
              <w:spacing w:before="0" w:after="283"/>
              <w:jc w:val="right"/>
              <w:rPr>
                <w:sz w:val="20"/>
              </w:rPr>
            </w:pPr>
            <w:r>
              <w:rPr>
                <w:sz w:val="20"/>
              </w:rPr>
              <w:t>(930)</w:t>
            </w:r>
          </w:p>
        </w:tc>
      </w:tr>
      <w:tr>
        <w:trPr/>
        <w:tc>
          <w:tcPr>
            <w:tcW w:w="1355" w:type="dxa"/>
            <w:tcBorders/>
            <w:shd w:fill="FFFFFF" w:val="clear"/>
            <w:vAlign w:val="center"/>
          </w:tcPr>
          <w:p>
            <w:pPr>
              <w:pStyle w:val="TableContents"/>
              <w:bidi w:val="0"/>
              <w:spacing w:before="0" w:after="283"/>
              <w:jc w:val="left"/>
              <w:rPr>
                <w:sz w:val="20"/>
              </w:rPr>
            </w:pPr>
            <w:r>
              <w:rPr>
                <w:sz w:val="20"/>
              </w:rPr>
              <w:t>Net income for the period</w:t>
            </w:r>
          </w:p>
        </w:tc>
        <w:tc>
          <w:tcPr>
            <w:tcW w:w="485"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920" w:type="dxa"/>
            <w:tcBorders/>
            <w:shd w:fill="FFFFFF" w:val="clear"/>
            <w:vAlign w:val="center"/>
          </w:tcPr>
          <w:p>
            <w:pPr>
              <w:pStyle w:val="TableContents"/>
              <w:bidi w:val="0"/>
              <w:spacing w:before="0" w:after="283"/>
              <w:jc w:val="right"/>
              <w:rPr>
                <w:sz w:val="20"/>
              </w:rPr>
            </w:pPr>
            <w:r>
              <w:rPr>
                <w:sz w:val="20"/>
              </w:rPr>
              <w:t>-</w:t>
            </w:r>
          </w:p>
        </w:tc>
        <w:tc>
          <w:tcPr>
            <w:tcW w:w="725" w:type="dxa"/>
            <w:tcBorders/>
            <w:shd w:fill="FFFFFF" w:val="clear"/>
            <w:vAlign w:val="center"/>
          </w:tcPr>
          <w:p>
            <w:pPr>
              <w:pStyle w:val="TableContents"/>
              <w:bidi w:val="0"/>
              <w:spacing w:before="0" w:after="283"/>
              <w:jc w:val="right"/>
              <w:rPr>
                <w:sz w:val="20"/>
              </w:rPr>
            </w:pPr>
            <w:r>
              <w:rPr>
                <w:sz w:val="20"/>
              </w:rPr>
              <w:t>-</w:t>
            </w:r>
          </w:p>
        </w:tc>
        <w:tc>
          <w:tcPr>
            <w:tcW w:w="770" w:type="dxa"/>
            <w:tcBorders/>
            <w:shd w:fill="FFFFFF" w:val="clear"/>
            <w:vAlign w:val="center"/>
          </w:tcPr>
          <w:p>
            <w:pPr>
              <w:pStyle w:val="TableContents"/>
              <w:bidi w:val="0"/>
              <w:spacing w:before="0" w:after="283"/>
              <w:jc w:val="right"/>
              <w:rPr>
                <w:b/>
                <w:sz w:val="20"/>
              </w:rPr>
            </w:pPr>
            <w:r>
              <w:rPr>
                <w:b/>
                <w:sz w:val="20"/>
              </w:rPr>
              <w:t>-</w:t>
            </w:r>
          </w:p>
        </w:tc>
        <w:tc>
          <w:tcPr>
            <w:tcW w:w="770" w:type="dxa"/>
            <w:tcBorders/>
            <w:shd w:fill="FFFFFF" w:val="clear"/>
            <w:vAlign w:val="center"/>
          </w:tcPr>
          <w:p>
            <w:pPr>
              <w:pStyle w:val="TableContents"/>
              <w:bidi w:val="0"/>
              <w:spacing w:before="0" w:after="283"/>
              <w:jc w:val="right"/>
              <w:rPr>
                <w:sz w:val="20"/>
              </w:rPr>
            </w:pPr>
            <w:r>
              <w:rPr>
                <w:sz w:val="20"/>
              </w:rPr>
              <w:t>12,864</w:t>
            </w:r>
          </w:p>
        </w:tc>
        <w:tc>
          <w:tcPr>
            <w:tcW w:w="1010" w:type="dxa"/>
            <w:tcBorders/>
            <w:shd w:fill="FFFFFF" w:val="clear"/>
            <w:vAlign w:val="center"/>
          </w:tcPr>
          <w:p>
            <w:pPr>
              <w:pStyle w:val="TableContents"/>
              <w:bidi w:val="0"/>
              <w:spacing w:before="0" w:after="283"/>
              <w:jc w:val="right"/>
              <w:rPr>
                <w:sz w:val="20"/>
              </w:rPr>
            </w:pPr>
            <w:r>
              <w:rPr>
                <w:sz w:val="20"/>
              </w:rPr>
              <w:t>-</w:t>
            </w:r>
          </w:p>
        </w:tc>
        <w:tc>
          <w:tcPr>
            <w:tcW w:w="815" w:type="dxa"/>
            <w:tcBorders/>
            <w:shd w:fill="FFFFFF" w:val="clear"/>
            <w:vAlign w:val="center"/>
          </w:tcPr>
          <w:p>
            <w:pPr>
              <w:pStyle w:val="TableContents"/>
              <w:bidi w:val="0"/>
              <w:spacing w:before="0" w:after="283"/>
              <w:jc w:val="righ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12,864</w:t>
            </w:r>
          </w:p>
        </w:tc>
        <w:tc>
          <w:tcPr>
            <w:tcW w:w="1370" w:type="dxa"/>
            <w:tcBorders/>
            <w:shd w:fill="FFFFFF" w:val="clear"/>
            <w:vAlign w:val="center"/>
          </w:tcPr>
          <w:p>
            <w:pPr>
              <w:pStyle w:val="TableContents"/>
              <w:bidi w:val="0"/>
              <w:spacing w:before="0" w:after="283"/>
              <w:jc w:val="right"/>
              <w:rPr>
                <w:sz w:val="20"/>
              </w:rPr>
            </w:pPr>
            <w:r>
              <w:rPr>
                <w:sz w:val="20"/>
              </w:rPr>
              <w:t>6,348</w:t>
            </w:r>
          </w:p>
        </w:tc>
        <w:tc>
          <w:tcPr>
            <w:tcW w:w="710" w:type="dxa"/>
            <w:tcBorders/>
            <w:shd w:fill="FFFFFF" w:val="clear"/>
            <w:vAlign w:val="center"/>
          </w:tcPr>
          <w:p>
            <w:pPr>
              <w:pStyle w:val="TableContents"/>
              <w:bidi w:val="0"/>
              <w:spacing w:before="0" w:after="283"/>
              <w:jc w:val="right"/>
              <w:rPr>
                <w:sz w:val="20"/>
              </w:rPr>
            </w:pPr>
            <w:r>
              <w:rPr>
                <w:sz w:val="20"/>
              </w:rPr>
              <w:t>19,212</w:t>
            </w:r>
          </w:p>
        </w:tc>
      </w:tr>
      <w:tr>
        <w:trPr/>
        <w:tc>
          <w:tcPr>
            <w:tcW w:w="1355" w:type="dxa"/>
            <w:tcBorders/>
            <w:shd w:fill="D5EAEA" w:val="clear"/>
            <w:vAlign w:val="center"/>
          </w:tcPr>
          <w:p>
            <w:pPr>
              <w:pStyle w:val="TableContents"/>
              <w:bidi w:val="0"/>
              <w:spacing w:before="0" w:after="283"/>
              <w:jc w:val="left"/>
              <w:rPr>
                <w:sz w:val="20"/>
              </w:rPr>
            </w:pPr>
            <w:r>
              <w:rPr>
                <w:sz w:val="20"/>
              </w:rPr>
              <w:t>Dividends declared</w:t>
            </w:r>
          </w:p>
        </w:tc>
        <w:tc>
          <w:tcPr>
            <w:tcW w:w="485" w:type="dxa"/>
            <w:tcBorders/>
            <w:shd w:fill="D5EAEA" w:val="clear"/>
            <w:vAlign w:val="center"/>
          </w:tcPr>
          <w:p>
            <w:pPr>
              <w:pStyle w:val="TableContents"/>
              <w:bidi w:val="0"/>
              <w:spacing w:before="0" w:after="283"/>
              <w:jc w:val="center"/>
              <w:rPr>
                <w:sz w:val="20"/>
              </w:rPr>
            </w:pPr>
            <w:r>
              <w:rPr>
                <w:sz w:val="20"/>
              </w:rPr>
              <w:t>29(c)</w:t>
            </w:r>
          </w:p>
        </w:tc>
        <w:tc>
          <w:tcPr>
            <w:tcW w:w="650" w:type="dxa"/>
            <w:tcBorders/>
            <w:shd w:fill="D5EAEA" w:val="clear"/>
            <w:vAlign w:val="center"/>
          </w:tcPr>
          <w:p>
            <w:pPr>
              <w:pStyle w:val="TableContents"/>
              <w:bidi w:val="0"/>
              <w:spacing w:before="0" w:after="283"/>
              <w:jc w:val="right"/>
              <w:rPr>
                <w:sz w:val="20"/>
              </w:rPr>
            </w:pPr>
            <w:r>
              <w:rPr>
                <w:sz w:val="20"/>
              </w:rPr>
              <w:t>-</w:t>
            </w:r>
          </w:p>
        </w:tc>
        <w:tc>
          <w:tcPr>
            <w:tcW w:w="920" w:type="dxa"/>
            <w:tcBorders/>
            <w:shd w:fill="D5EAEA" w:val="clear"/>
            <w:vAlign w:val="center"/>
          </w:tcPr>
          <w:p>
            <w:pPr>
              <w:pStyle w:val="TableContents"/>
              <w:bidi w:val="0"/>
              <w:spacing w:before="0" w:after="283"/>
              <w:jc w:val="right"/>
              <w:rPr>
                <w:sz w:val="20"/>
              </w:rPr>
            </w:pPr>
            <w:r>
              <w:rPr>
                <w:sz w:val="20"/>
              </w:rPr>
              <w:t>(37,765)</w:t>
            </w:r>
          </w:p>
        </w:tc>
        <w:tc>
          <w:tcPr>
            <w:tcW w:w="725"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b/>
                <w:sz w:val="20"/>
              </w:rPr>
            </w:pPr>
            <w:r>
              <w:rPr>
                <w:b/>
                <w:sz w:val="20"/>
              </w:rPr>
              <w:t>-</w:t>
            </w:r>
          </w:p>
        </w:tc>
        <w:tc>
          <w:tcPr>
            <w:tcW w:w="770" w:type="dxa"/>
            <w:tcBorders/>
            <w:shd w:fill="D5EAEA" w:val="clear"/>
            <w:vAlign w:val="center"/>
          </w:tcPr>
          <w:p>
            <w:pPr>
              <w:pStyle w:val="TableContents"/>
              <w:bidi w:val="0"/>
              <w:spacing w:before="0" w:after="283"/>
              <w:jc w:val="right"/>
              <w:rPr>
                <w:sz w:val="20"/>
              </w:rPr>
            </w:pPr>
            <w:r>
              <w:rPr>
                <w:sz w:val="20"/>
              </w:rPr>
              <w:t>(12,864)</w:t>
            </w:r>
          </w:p>
        </w:tc>
        <w:tc>
          <w:tcPr>
            <w:tcW w:w="1010" w:type="dxa"/>
            <w:tcBorders/>
            <w:shd w:fill="D5EAEA" w:val="clear"/>
            <w:vAlign w:val="center"/>
          </w:tcPr>
          <w:p>
            <w:pPr>
              <w:pStyle w:val="TableContents"/>
              <w:bidi w:val="0"/>
              <w:spacing w:before="0" w:after="283"/>
              <w:jc w:val="right"/>
              <w:rPr>
                <w:sz w:val="20"/>
              </w:rPr>
            </w:pPr>
            <w:r>
              <w:rPr>
                <w:sz w:val="20"/>
              </w:rPr>
              <w:t>-</w:t>
            </w:r>
          </w:p>
        </w:tc>
        <w:tc>
          <w:tcPr>
            <w:tcW w:w="815" w:type="dxa"/>
            <w:tcBorders/>
            <w:shd w:fill="D5EAEA" w:val="clear"/>
            <w:vAlign w:val="center"/>
          </w:tcPr>
          <w:p>
            <w:pPr>
              <w:pStyle w:val="TableContents"/>
              <w:bidi w:val="0"/>
              <w:spacing w:before="0" w:after="283"/>
              <w:jc w:val="right"/>
              <w:rPr>
                <w:sz w:val="20"/>
              </w:rPr>
            </w:pPr>
            <w:r>
              <w:rPr>
                <w:sz w:val="20"/>
              </w:rPr>
              <w:t>-</w:t>
            </w:r>
          </w:p>
        </w:tc>
        <w:tc>
          <w:tcPr>
            <w:tcW w:w="1025" w:type="dxa"/>
            <w:tcBorders/>
            <w:shd w:fill="D5EAEA" w:val="clear"/>
            <w:vAlign w:val="center"/>
          </w:tcPr>
          <w:p>
            <w:pPr>
              <w:pStyle w:val="TableContents"/>
              <w:bidi w:val="0"/>
              <w:spacing w:before="0" w:after="283"/>
              <w:jc w:val="right"/>
              <w:rPr>
                <w:sz w:val="20"/>
              </w:rPr>
            </w:pPr>
            <w:r>
              <w:rPr>
                <w:sz w:val="20"/>
              </w:rPr>
              <w:t>(50,629)</w:t>
            </w:r>
          </w:p>
        </w:tc>
        <w:tc>
          <w:tcPr>
            <w:tcW w:w="1370" w:type="dxa"/>
            <w:tcBorders/>
            <w:shd w:fill="D5EAEA" w:val="clear"/>
            <w:vAlign w:val="center"/>
          </w:tcPr>
          <w:p>
            <w:pPr>
              <w:pStyle w:val="TableContents"/>
              <w:bidi w:val="0"/>
              <w:spacing w:before="0" w:after="283"/>
              <w:jc w:val="right"/>
              <w:rPr>
                <w:sz w:val="20"/>
              </w:rPr>
            </w:pPr>
            <w:r>
              <w:rPr>
                <w:sz w:val="20"/>
              </w:rPr>
              <w:t>(4,761)</w:t>
            </w:r>
          </w:p>
        </w:tc>
        <w:tc>
          <w:tcPr>
            <w:tcW w:w="710" w:type="dxa"/>
            <w:tcBorders/>
            <w:shd w:fill="D5EAEA" w:val="clear"/>
            <w:vAlign w:val="center"/>
          </w:tcPr>
          <w:p>
            <w:pPr>
              <w:pStyle w:val="TableContents"/>
              <w:bidi w:val="0"/>
              <w:spacing w:before="0" w:after="283"/>
              <w:jc w:val="right"/>
              <w:rPr>
                <w:sz w:val="20"/>
              </w:rPr>
            </w:pPr>
            <w:r>
              <w:rPr>
                <w:sz w:val="20"/>
              </w:rPr>
              <w:t>(55,390)</w:t>
            </w:r>
          </w:p>
        </w:tc>
      </w:tr>
      <w:tr>
        <w:trPr/>
        <w:tc>
          <w:tcPr>
            <w:tcW w:w="1355" w:type="dxa"/>
            <w:tcBorders/>
            <w:shd w:fill="FFFFFF" w:val="clear"/>
            <w:vAlign w:val="center"/>
          </w:tcPr>
          <w:p>
            <w:pPr>
              <w:pStyle w:val="TableContents"/>
              <w:bidi w:val="0"/>
              <w:spacing w:before="0" w:after="283"/>
              <w:jc w:val="left"/>
              <w:rPr>
                <w:sz w:val="20"/>
              </w:rPr>
            </w:pPr>
            <w:r>
              <w:rPr>
                <w:sz w:val="20"/>
              </w:rPr>
              <w:t>Share-based incentive plans granted</w:t>
            </w:r>
          </w:p>
        </w:tc>
        <w:tc>
          <w:tcPr>
            <w:tcW w:w="485" w:type="dxa"/>
            <w:tcBorders/>
            <w:shd w:fill="FFFFFF" w:val="clear"/>
            <w:vAlign w:val="center"/>
          </w:tcPr>
          <w:p>
            <w:pPr>
              <w:pStyle w:val="TableContents"/>
              <w:bidi w:val="0"/>
              <w:spacing w:before="0" w:after="283"/>
              <w:jc w:val="center"/>
              <w:rPr>
                <w:sz w:val="20"/>
              </w:rPr>
            </w:pPr>
            <w:r>
              <w:rPr>
                <w:sz w:val="20"/>
              </w:rPr>
              <w:t>29(d)</w:t>
            </w:r>
          </w:p>
        </w:tc>
        <w:tc>
          <w:tcPr>
            <w:tcW w:w="650" w:type="dxa"/>
            <w:tcBorders/>
            <w:shd w:fill="FFFFFF" w:val="clear"/>
            <w:vAlign w:val="center"/>
          </w:tcPr>
          <w:p>
            <w:pPr>
              <w:pStyle w:val="TableContents"/>
              <w:bidi w:val="0"/>
              <w:spacing w:before="0" w:after="283"/>
              <w:jc w:val="right"/>
              <w:rPr>
                <w:sz w:val="20"/>
              </w:rPr>
            </w:pPr>
            <w:r>
              <w:rPr>
                <w:sz w:val="20"/>
              </w:rPr>
              <w:t>-</w:t>
            </w:r>
          </w:p>
        </w:tc>
        <w:tc>
          <w:tcPr>
            <w:tcW w:w="920" w:type="dxa"/>
            <w:tcBorders/>
            <w:shd w:fill="FFFFFF" w:val="clear"/>
            <w:vAlign w:val="center"/>
          </w:tcPr>
          <w:p>
            <w:pPr>
              <w:pStyle w:val="TableContents"/>
              <w:bidi w:val="0"/>
              <w:spacing w:before="0" w:after="283"/>
              <w:jc w:val="right"/>
              <w:rPr>
                <w:sz w:val="20"/>
              </w:rPr>
            </w:pPr>
            <w:r>
              <w:rPr>
                <w:sz w:val="20"/>
              </w:rPr>
              <w:t>-</w:t>
            </w:r>
          </w:p>
        </w:tc>
        <w:tc>
          <w:tcPr>
            <w:tcW w:w="725" w:type="dxa"/>
            <w:tcBorders/>
            <w:shd w:fill="FFFFFF" w:val="clear"/>
            <w:vAlign w:val="center"/>
          </w:tcPr>
          <w:p>
            <w:pPr>
              <w:pStyle w:val="TableContents"/>
              <w:bidi w:val="0"/>
              <w:spacing w:before="0" w:after="283"/>
              <w:jc w:val="right"/>
              <w:rPr>
                <w:sz w:val="20"/>
              </w:rPr>
            </w:pPr>
            <w:r>
              <w:rPr>
                <w:sz w:val="20"/>
              </w:rPr>
              <w:t>33,391</w:t>
            </w:r>
          </w:p>
        </w:tc>
        <w:tc>
          <w:tcPr>
            <w:tcW w:w="770" w:type="dxa"/>
            <w:tcBorders/>
            <w:shd w:fill="FFFFFF" w:val="clear"/>
            <w:vAlign w:val="center"/>
          </w:tcPr>
          <w:p>
            <w:pPr>
              <w:pStyle w:val="TableContents"/>
              <w:bidi w:val="0"/>
              <w:spacing w:before="0" w:after="283"/>
              <w:jc w:val="right"/>
              <w:rPr>
                <w:b/>
                <w:sz w:val="20"/>
              </w:rPr>
            </w:pPr>
            <w:r>
              <w:rPr>
                <w:b/>
                <w:sz w:val="20"/>
              </w:rPr>
              <w:t>-</w:t>
            </w:r>
          </w:p>
        </w:tc>
        <w:tc>
          <w:tcPr>
            <w:tcW w:w="770" w:type="dxa"/>
            <w:tcBorders/>
            <w:shd w:fill="FFFFFF" w:val="clear"/>
            <w:vAlign w:val="center"/>
          </w:tcPr>
          <w:p>
            <w:pPr>
              <w:pStyle w:val="TableContents"/>
              <w:bidi w:val="0"/>
              <w:spacing w:before="0" w:after="283"/>
              <w:jc w:val="righ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w:t>
            </w:r>
          </w:p>
        </w:tc>
        <w:tc>
          <w:tcPr>
            <w:tcW w:w="815" w:type="dxa"/>
            <w:tcBorders/>
            <w:shd w:fill="FFFFFF" w:val="clear"/>
            <w:vAlign w:val="center"/>
          </w:tcPr>
          <w:p>
            <w:pPr>
              <w:pStyle w:val="TableContents"/>
              <w:bidi w:val="0"/>
              <w:spacing w:before="0" w:after="283"/>
              <w:jc w:val="righ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33,391</w:t>
            </w:r>
          </w:p>
        </w:tc>
        <w:tc>
          <w:tcPr>
            <w:tcW w:w="1370" w:type="dxa"/>
            <w:tcBorders/>
            <w:shd w:fill="FFFFFF" w:val="clear"/>
            <w:vAlign w:val="center"/>
          </w:tcPr>
          <w:p>
            <w:pPr>
              <w:pStyle w:val="TableContents"/>
              <w:bidi w:val="0"/>
              <w:spacing w:before="0" w:after="283"/>
              <w:jc w:val="right"/>
              <w:rPr>
                <w:sz w:val="20"/>
              </w:rPr>
            </w:pPr>
            <w:r>
              <w:rPr>
                <w:sz w:val="20"/>
              </w:rPr>
              <w:t>-</w:t>
            </w:r>
          </w:p>
        </w:tc>
        <w:tc>
          <w:tcPr>
            <w:tcW w:w="710" w:type="dxa"/>
            <w:tcBorders/>
            <w:shd w:fill="FFFFFF" w:val="clear"/>
            <w:vAlign w:val="center"/>
          </w:tcPr>
          <w:p>
            <w:pPr>
              <w:pStyle w:val="TableContents"/>
              <w:bidi w:val="0"/>
              <w:spacing w:before="0" w:after="283"/>
              <w:jc w:val="right"/>
              <w:rPr>
                <w:sz w:val="20"/>
              </w:rPr>
            </w:pPr>
            <w:r>
              <w:rPr>
                <w:sz w:val="20"/>
              </w:rPr>
              <w:t>33,391</w:t>
            </w:r>
          </w:p>
        </w:tc>
      </w:tr>
      <w:tr>
        <w:trPr/>
        <w:tc>
          <w:tcPr>
            <w:tcW w:w="1355" w:type="dxa"/>
            <w:tcBorders/>
            <w:shd w:fill="D5EAEA" w:val="clear"/>
            <w:vAlign w:val="center"/>
          </w:tcPr>
          <w:p>
            <w:pPr>
              <w:pStyle w:val="TableContents"/>
              <w:bidi w:val="0"/>
              <w:spacing w:before="0" w:after="283"/>
              <w:jc w:val="left"/>
              <w:rPr>
                <w:sz w:val="20"/>
              </w:rPr>
            </w:pPr>
            <w:r>
              <w:rPr>
                <w:sz w:val="20"/>
              </w:rPr>
              <w:t>Bonus share plan</w:t>
            </w:r>
          </w:p>
        </w:tc>
        <w:tc>
          <w:tcPr>
            <w:tcW w:w="485" w:type="dxa"/>
            <w:tcBorders/>
            <w:shd w:fill="D5EAEA" w:val="clear"/>
            <w:vAlign w:val="center"/>
          </w:tcPr>
          <w:p>
            <w:pPr>
              <w:pStyle w:val="TableContents"/>
              <w:bidi w:val="0"/>
              <w:spacing w:before="0" w:after="283"/>
              <w:jc w:val="center"/>
              <w:rPr>
                <w:sz w:val="20"/>
              </w:rPr>
            </w:pPr>
            <w:r>
              <w:rPr>
                <w:sz w:val="20"/>
              </w:rPr>
              <w:t>29(d)</w:t>
            </w:r>
          </w:p>
        </w:tc>
        <w:tc>
          <w:tcPr>
            <w:tcW w:w="650" w:type="dxa"/>
            <w:tcBorders/>
            <w:shd w:fill="D5EAEA" w:val="clear"/>
            <w:vAlign w:val="center"/>
          </w:tcPr>
          <w:p>
            <w:pPr>
              <w:pStyle w:val="TableContents"/>
              <w:bidi w:val="0"/>
              <w:spacing w:before="0" w:after="283"/>
              <w:jc w:val="right"/>
              <w:rPr>
                <w:sz w:val="20"/>
              </w:rPr>
            </w:pPr>
            <w:r>
              <w:rPr>
                <w:sz w:val="20"/>
              </w:rPr>
              <w:t>-</w:t>
            </w:r>
          </w:p>
        </w:tc>
        <w:tc>
          <w:tcPr>
            <w:tcW w:w="920" w:type="dxa"/>
            <w:tcBorders/>
            <w:shd w:fill="D5EAEA" w:val="clear"/>
            <w:vAlign w:val="center"/>
          </w:tcPr>
          <w:p>
            <w:pPr>
              <w:pStyle w:val="TableContents"/>
              <w:bidi w:val="0"/>
              <w:spacing w:before="0" w:after="283"/>
              <w:jc w:val="right"/>
              <w:rPr>
                <w:sz w:val="20"/>
              </w:rPr>
            </w:pPr>
            <w:r>
              <w:rPr>
                <w:sz w:val="20"/>
              </w:rPr>
              <w:t>34,575</w:t>
            </w:r>
          </w:p>
        </w:tc>
        <w:tc>
          <w:tcPr>
            <w:tcW w:w="725" w:type="dxa"/>
            <w:tcBorders/>
            <w:shd w:fill="D5EAEA" w:val="clear"/>
            <w:vAlign w:val="center"/>
          </w:tcPr>
          <w:p>
            <w:pPr>
              <w:pStyle w:val="TableContents"/>
              <w:bidi w:val="0"/>
              <w:spacing w:before="0" w:after="283"/>
              <w:jc w:val="right"/>
              <w:rPr>
                <w:sz w:val="20"/>
              </w:rPr>
            </w:pPr>
            <w:r>
              <w:rPr>
                <w:sz w:val="20"/>
              </w:rPr>
              <w:t>(34,575)</w:t>
            </w:r>
          </w:p>
        </w:tc>
        <w:tc>
          <w:tcPr>
            <w:tcW w:w="770" w:type="dxa"/>
            <w:tcBorders/>
            <w:shd w:fill="D5EAEA" w:val="clear"/>
            <w:vAlign w:val="center"/>
          </w:tcPr>
          <w:p>
            <w:pPr>
              <w:pStyle w:val="TableContents"/>
              <w:bidi w:val="0"/>
              <w:spacing w:before="0" w:after="283"/>
              <w:jc w:val="right"/>
              <w:rPr>
                <w:b/>
                <w:sz w:val="20"/>
              </w:rPr>
            </w:pPr>
            <w:r>
              <w:rPr>
                <w:b/>
                <w:sz w:val="20"/>
              </w:rPr>
              <w:t>-</w:t>
            </w:r>
          </w:p>
        </w:tc>
        <w:tc>
          <w:tcPr>
            <w:tcW w:w="770" w:type="dxa"/>
            <w:tcBorders/>
            <w:shd w:fill="D5EAEA" w:val="clear"/>
            <w:vAlign w:val="center"/>
          </w:tcPr>
          <w:p>
            <w:pPr>
              <w:pStyle w:val="TableContents"/>
              <w:bidi w:val="0"/>
              <w:spacing w:before="0" w:after="283"/>
              <w:jc w:val="right"/>
              <w:rPr>
                <w:sz w:val="20"/>
              </w:rPr>
            </w:pPr>
            <w:r>
              <w:rPr>
                <w:sz w:val="20"/>
              </w:rPr>
              <w:t>-</w:t>
            </w:r>
          </w:p>
        </w:tc>
        <w:tc>
          <w:tcPr>
            <w:tcW w:w="1010" w:type="dxa"/>
            <w:tcBorders/>
            <w:shd w:fill="D5EAEA" w:val="clear"/>
            <w:vAlign w:val="center"/>
          </w:tcPr>
          <w:p>
            <w:pPr>
              <w:pStyle w:val="TableContents"/>
              <w:bidi w:val="0"/>
              <w:spacing w:before="0" w:after="283"/>
              <w:jc w:val="right"/>
              <w:rPr>
                <w:sz w:val="20"/>
              </w:rPr>
            </w:pPr>
            <w:r>
              <w:rPr>
                <w:sz w:val="20"/>
              </w:rPr>
              <w:t>-</w:t>
            </w:r>
          </w:p>
        </w:tc>
        <w:tc>
          <w:tcPr>
            <w:tcW w:w="815" w:type="dxa"/>
            <w:tcBorders/>
            <w:shd w:fill="D5EAEA" w:val="clear"/>
            <w:vAlign w:val="center"/>
          </w:tcPr>
          <w:p>
            <w:pPr>
              <w:pStyle w:val="TableContents"/>
              <w:bidi w:val="0"/>
              <w:spacing w:before="0" w:after="283"/>
              <w:jc w:val="right"/>
              <w:rPr>
                <w:sz w:val="20"/>
              </w:rPr>
            </w:pPr>
            <w:r>
              <w:rPr>
                <w:sz w:val="20"/>
              </w:rPr>
              <w:t>-</w:t>
            </w:r>
          </w:p>
        </w:tc>
        <w:tc>
          <w:tcPr>
            <w:tcW w:w="1025" w:type="dxa"/>
            <w:tcBorders/>
            <w:shd w:fill="D5EAEA" w:val="clear"/>
            <w:vAlign w:val="center"/>
          </w:tcPr>
          <w:p>
            <w:pPr>
              <w:pStyle w:val="TableContents"/>
              <w:bidi w:val="0"/>
              <w:spacing w:before="0" w:after="283"/>
              <w:jc w:val="right"/>
              <w:rPr>
                <w:sz w:val="20"/>
              </w:rPr>
            </w:pPr>
            <w:r>
              <w:rPr>
                <w:sz w:val="20"/>
              </w:rPr>
              <w:t>-</w:t>
            </w:r>
          </w:p>
        </w:tc>
        <w:tc>
          <w:tcPr>
            <w:tcW w:w="137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sz w:val="20"/>
              </w:rPr>
            </w:pPr>
            <w:r>
              <w:rPr>
                <w:sz w:val="20"/>
              </w:rPr>
              <w:t>-</w:t>
            </w:r>
          </w:p>
        </w:tc>
      </w:tr>
      <w:tr>
        <w:trPr/>
        <w:tc>
          <w:tcPr>
            <w:tcW w:w="1355" w:type="dxa"/>
            <w:tcBorders/>
            <w:shd w:fill="FFFFFF" w:val="clear"/>
            <w:vAlign w:val="center"/>
          </w:tcPr>
          <w:p>
            <w:pPr>
              <w:pStyle w:val="TableContents"/>
              <w:bidi w:val="0"/>
              <w:spacing w:before="0" w:after="283"/>
              <w:jc w:val="left"/>
              <w:rPr>
                <w:sz w:val="20"/>
              </w:rPr>
            </w:pPr>
            <w:r>
              <w:rPr>
                <w:sz w:val="20"/>
              </w:rPr>
              <w:t xml:space="preserve">Capital issuance </w:t>
            </w:r>
          </w:p>
        </w:tc>
        <w:tc>
          <w:tcPr>
            <w:tcW w:w="485" w:type="dxa"/>
            <w:tcBorders/>
            <w:shd w:fill="FFFFFF" w:val="clear"/>
            <w:vAlign w:val="center"/>
          </w:tcPr>
          <w:p>
            <w:pPr>
              <w:pStyle w:val="TableContents"/>
              <w:bidi w:val="0"/>
              <w:spacing w:before="0" w:after="283"/>
              <w:jc w:val="center"/>
              <w:rPr>
                <w:sz w:val="20"/>
              </w:rPr>
            </w:pPr>
            <w:r>
              <w:rPr>
                <w:sz w:val="20"/>
              </w:rPr>
              <w:t>29(b)</w:t>
            </w:r>
          </w:p>
        </w:tc>
        <w:tc>
          <w:tcPr>
            <w:tcW w:w="650" w:type="dxa"/>
            <w:tcBorders/>
            <w:shd w:fill="FFFFFF" w:val="clear"/>
            <w:vAlign w:val="center"/>
          </w:tcPr>
          <w:p>
            <w:pPr>
              <w:pStyle w:val="TableContents"/>
              <w:bidi w:val="0"/>
              <w:spacing w:before="0" w:after="283"/>
              <w:jc w:val="right"/>
              <w:rPr>
                <w:sz w:val="20"/>
              </w:rPr>
            </w:pPr>
            <w:r>
              <w:rPr>
                <w:sz w:val="20"/>
              </w:rPr>
              <w:t>-</w:t>
            </w:r>
          </w:p>
        </w:tc>
        <w:tc>
          <w:tcPr>
            <w:tcW w:w="920" w:type="dxa"/>
            <w:tcBorders/>
            <w:shd w:fill="FFFFFF" w:val="clear"/>
            <w:vAlign w:val="center"/>
          </w:tcPr>
          <w:p>
            <w:pPr>
              <w:pStyle w:val="TableContents"/>
              <w:bidi w:val="0"/>
              <w:spacing w:before="0" w:after="283"/>
              <w:jc w:val="right"/>
              <w:rPr>
                <w:sz w:val="20"/>
              </w:rPr>
            </w:pPr>
            <w:r>
              <w:rPr>
                <w:sz w:val="20"/>
              </w:rPr>
              <w:t>22,050</w:t>
            </w:r>
          </w:p>
        </w:tc>
        <w:tc>
          <w:tcPr>
            <w:tcW w:w="725" w:type="dxa"/>
            <w:tcBorders/>
            <w:shd w:fill="FFFFFF" w:val="clear"/>
            <w:vAlign w:val="center"/>
          </w:tcPr>
          <w:p>
            <w:pPr>
              <w:pStyle w:val="TableContents"/>
              <w:bidi w:val="0"/>
              <w:spacing w:before="0" w:after="283"/>
              <w:jc w:val="right"/>
              <w:rPr>
                <w:sz w:val="20"/>
              </w:rPr>
            </w:pPr>
            <w:r>
              <w:rPr>
                <w:sz w:val="20"/>
              </w:rPr>
              <w:t>-</w:t>
            </w:r>
          </w:p>
        </w:tc>
        <w:tc>
          <w:tcPr>
            <w:tcW w:w="770" w:type="dxa"/>
            <w:tcBorders/>
            <w:shd w:fill="FFFFFF" w:val="clear"/>
            <w:vAlign w:val="center"/>
          </w:tcPr>
          <w:p>
            <w:pPr>
              <w:pStyle w:val="TableContents"/>
              <w:bidi w:val="0"/>
              <w:spacing w:before="0" w:after="283"/>
              <w:jc w:val="right"/>
              <w:rPr>
                <w:b/>
                <w:sz w:val="20"/>
              </w:rPr>
            </w:pPr>
            <w:r>
              <w:rPr>
                <w:b/>
                <w:sz w:val="20"/>
              </w:rPr>
              <w:t>-</w:t>
            </w:r>
          </w:p>
        </w:tc>
        <w:tc>
          <w:tcPr>
            <w:tcW w:w="770" w:type="dxa"/>
            <w:tcBorders/>
            <w:shd w:fill="FFFFFF" w:val="clear"/>
            <w:vAlign w:val="center"/>
          </w:tcPr>
          <w:p>
            <w:pPr>
              <w:pStyle w:val="TableContents"/>
              <w:bidi w:val="0"/>
              <w:spacing w:before="0" w:after="283"/>
              <w:jc w:val="righ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w:t>
            </w:r>
          </w:p>
        </w:tc>
        <w:tc>
          <w:tcPr>
            <w:tcW w:w="815" w:type="dxa"/>
            <w:tcBorders/>
            <w:shd w:fill="FFFFFF" w:val="clear"/>
            <w:vAlign w:val="center"/>
          </w:tcPr>
          <w:p>
            <w:pPr>
              <w:pStyle w:val="TableContents"/>
              <w:bidi w:val="0"/>
              <w:spacing w:before="0" w:after="283"/>
              <w:jc w:val="righ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22,050</w:t>
            </w:r>
          </w:p>
        </w:tc>
        <w:tc>
          <w:tcPr>
            <w:tcW w:w="1370" w:type="dxa"/>
            <w:tcBorders/>
            <w:shd w:fill="FFFFFF" w:val="clear"/>
            <w:vAlign w:val="center"/>
          </w:tcPr>
          <w:p>
            <w:pPr>
              <w:pStyle w:val="TableContents"/>
              <w:bidi w:val="0"/>
              <w:spacing w:before="0" w:after="283"/>
              <w:jc w:val="right"/>
              <w:rPr>
                <w:sz w:val="20"/>
              </w:rPr>
            </w:pPr>
            <w:r>
              <w:rPr>
                <w:sz w:val="20"/>
              </w:rPr>
              <w:t>-</w:t>
            </w:r>
          </w:p>
        </w:tc>
        <w:tc>
          <w:tcPr>
            <w:tcW w:w="710" w:type="dxa"/>
            <w:tcBorders/>
            <w:shd w:fill="FFFFFF" w:val="clear"/>
            <w:vAlign w:val="center"/>
          </w:tcPr>
          <w:p>
            <w:pPr>
              <w:pStyle w:val="TableContents"/>
              <w:bidi w:val="0"/>
              <w:spacing w:before="0" w:after="283"/>
              <w:jc w:val="right"/>
              <w:rPr>
                <w:sz w:val="20"/>
              </w:rPr>
            </w:pPr>
            <w:r>
              <w:rPr>
                <w:sz w:val="20"/>
              </w:rPr>
              <w:t>22,050</w:t>
            </w:r>
          </w:p>
        </w:tc>
      </w:tr>
      <w:tr>
        <w:trPr/>
        <w:tc>
          <w:tcPr>
            <w:tcW w:w="1355" w:type="dxa"/>
            <w:tcBorders/>
            <w:shd w:fill="D5EAEA" w:val="clear"/>
            <w:vAlign w:val="center"/>
          </w:tcPr>
          <w:p>
            <w:pPr>
              <w:pStyle w:val="TableContents"/>
              <w:bidi w:val="0"/>
              <w:spacing w:before="0" w:after="283"/>
              <w:jc w:val="left"/>
              <w:rPr>
                <w:sz w:val="20"/>
              </w:rPr>
            </w:pPr>
            <w:r>
              <w:rPr>
                <w:sz w:val="20"/>
              </w:rPr>
              <w:t>Gross obligation recognized</w:t>
            </w:r>
          </w:p>
        </w:tc>
        <w:tc>
          <w:tcPr>
            <w:tcW w:w="485" w:type="dxa"/>
            <w:tcBorders/>
            <w:shd w:fill="D5EAEA" w:val="clear"/>
            <w:vAlign w:val="center"/>
          </w:tcPr>
          <w:p>
            <w:pPr>
              <w:pStyle w:val="TableContents"/>
              <w:bidi w:val="0"/>
              <w:spacing w:before="0" w:after="283"/>
              <w:jc w:val="center"/>
              <w:rPr>
                <w:sz w:val="20"/>
              </w:rPr>
            </w:pPr>
            <w:r>
              <w:rPr>
                <w:sz w:val="20"/>
              </w:rPr>
              <w:t>21(c)</w:t>
            </w:r>
          </w:p>
        </w:tc>
        <w:tc>
          <w:tcPr>
            <w:tcW w:w="650" w:type="dxa"/>
            <w:tcBorders/>
            <w:shd w:fill="D5EAEA" w:val="clear"/>
            <w:vAlign w:val="center"/>
          </w:tcPr>
          <w:p>
            <w:pPr>
              <w:pStyle w:val="TableContents"/>
              <w:bidi w:val="0"/>
              <w:spacing w:before="0" w:after="283"/>
              <w:jc w:val="right"/>
              <w:rPr>
                <w:sz w:val="20"/>
              </w:rPr>
            </w:pPr>
            <w:r>
              <w:rPr>
                <w:sz w:val="20"/>
              </w:rPr>
              <w:t>-</w:t>
            </w:r>
          </w:p>
        </w:tc>
        <w:tc>
          <w:tcPr>
            <w:tcW w:w="920" w:type="dxa"/>
            <w:tcBorders/>
            <w:shd w:fill="D5EAEA" w:val="clear"/>
            <w:vAlign w:val="center"/>
          </w:tcPr>
          <w:p>
            <w:pPr>
              <w:pStyle w:val="TableContents"/>
              <w:bidi w:val="0"/>
              <w:spacing w:before="0" w:after="283"/>
              <w:jc w:val="right"/>
              <w:rPr>
                <w:sz w:val="20"/>
              </w:rPr>
            </w:pPr>
            <w:r>
              <w:rPr>
                <w:sz w:val="20"/>
              </w:rPr>
              <w:t>-</w:t>
            </w:r>
          </w:p>
        </w:tc>
        <w:tc>
          <w:tcPr>
            <w:tcW w:w="725"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sz w:val="20"/>
              </w:rPr>
            </w:pPr>
            <w:r>
              <w:rPr>
                <w:sz w:val="20"/>
              </w:rPr>
              <w:t>(49,035)</w:t>
            </w:r>
          </w:p>
        </w:tc>
        <w:tc>
          <w:tcPr>
            <w:tcW w:w="770" w:type="dxa"/>
            <w:tcBorders/>
            <w:shd w:fill="D5EAEA" w:val="clear"/>
            <w:vAlign w:val="center"/>
          </w:tcPr>
          <w:p>
            <w:pPr>
              <w:pStyle w:val="TableContents"/>
              <w:bidi w:val="0"/>
              <w:spacing w:before="0" w:after="283"/>
              <w:jc w:val="right"/>
              <w:rPr>
                <w:sz w:val="20"/>
              </w:rPr>
            </w:pPr>
            <w:r>
              <w:rPr>
                <w:sz w:val="20"/>
              </w:rPr>
              <w:t>-</w:t>
            </w:r>
          </w:p>
        </w:tc>
        <w:tc>
          <w:tcPr>
            <w:tcW w:w="1010" w:type="dxa"/>
            <w:tcBorders/>
            <w:shd w:fill="D5EAEA" w:val="clear"/>
            <w:vAlign w:val="center"/>
          </w:tcPr>
          <w:p>
            <w:pPr>
              <w:pStyle w:val="TableContents"/>
              <w:bidi w:val="0"/>
              <w:spacing w:before="0" w:after="283"/>
              <w:jc w:val="right"/>
              <w:rPr>
                <w:sz w:val="20"/>
              </w:rPr>
            </w:pPr>
            <w:r>
              <w:rPr>
                <w:sz w:val="20"/>
              </w:rPr>
              <w:t>-</w:t>
            </w:r>
          </w:p>
        </w:tc>
        <w:tc>
          <w:tcPr>
            <w:tcW w:w="815" w:type="dxa"/>
            <w:tcBorders/>
            <w:shd w:fill="D5EAEA" w:val="clear"/>
            <w:vAlign w:val="center"/>
          </w:tcPr>
          <w:p>
            <w:pPr>
              <w:pStyle w:val="TableContents"/>
              <w:bidi w:val="0"/>
              <w:spacing w:before="0" w:after="283"/>
              <w:jc w:val="right"/>
              <w:rPr>
                <w:sz w:val="20"/>
              </w:rPr>
            </w:pPr>
            <w:r>
              <w:rPr>
                <w:sz w:val="20"/>
              </w:rPr>
              <w:t>-</w:t>
            </w:r>
          </w:p>
        </w:tc>
        <w:tc>
          <w:tcPr>
            <w:tcW w:w="1025" w:type="dxa"/>
            <w:tcBorders/>
            <w:shd w:fill="D5EAEA" w:val="clear"/>
            <w:vAlign w:val="center"/>
          </w:tcPr>
          <w:p>
            <w:pPr>
              <w:pStyle w:val="TableContents"/>
              <w:bidi w:val="0"/>
              <w:spacing w:before="0" w:after="283"/>
              <w:jc w:val="right"/>
              <w:rPr>
                <w:sz w:val="20"/>
              </w:rPr>
            </w:pPr>
            <w:r>
              <w:rPr>
                <w:sz w:val="20"/>
              </w:rPr>
              <w:t>(49,035)</w:t>
            </w:r>
          </w:p>
        </w:tc>
        <w:tc>
          <w:tcPr>
            <w:tcW w:w="1370" w:type="dxa"/>
            <w:tcBorders/>
            <w:shd w:fill="D5EAEA" w:val="clear"/>
            <w:vAlign w:val="center"/>
          </w:tcPr>
          <w:p>
            <w:pPr>
              <w:pStyle w:val="TableContents"/>
              <w:bidi w:val="0"/>
              <w:spacing w:before="0" w:after="283"/>
              <w:jc w:val="right"/>
              <w:rPr>
                <w:sz w:val="20"/>
              </w:rPr>
            </w:pPr>
            <w:r>
              <w:rPr>
                <w:sz w:val="20"/>
              </w:rPr>
              <w:t>16,632</w:t>
            </w:r>
          </w:p>
        </w:tc>
        <w:tc>
          <w:tcPr>
            <w:tcW w:w="710" w:type="dxa"/>
            <w:tcBorders/>
            <w:shd w:fill="D5EAEA" w:val="clear"/>
            <w:vAlign w:val="center"/>
          </w:tcPr>
          <w:p>
            <w:pPr>
              <w:pStyle w:val="TableContents"/>
              <w:bidi w:val="0"/>
              <w:spacing w:before="0" w:after="283"/>
              <w:jc w:val="right"/>
              <w:rPr>
                <w:sz w:val="20"/>
              </w:rPr>
            </w:pPr>
            <w:r>
              <w:rPr>
                <w:sz w:val="20"/>
              </w:rPr>
              <w:t>(32,403)</w:t>
            </w:r>
          </w:p>
        </w:tc>
      </w:tr>
      <w:tr>
        <w:trPr/>
        <w:tc>
          <w:tcPr>
            <w:tcW w:w="1355" w:type="dxa"/>
            <w:tcBorders/>
            <w:shd w:fill="FFFFFF" w:val="clear"/>
            <w:vAlign w:val="center"/>
          </w:tcPr>
          <w:p>
            <w:pPr>
              <w:pStyle w:val="TableContents"/>
              <w:bidi w:val="0"/>
              <w:spacing w:before="0" w:after="283"/>
              <w:jc w:val="left"/>
              <w:rPr>
                <w:sz w:val="20"/>
              </w:rPr>
            </w:pPr>
            <w:r>
              <w:rPr>
                <w:sz w:val="20"/>
              </w:rPr>
              <w:t>Non-controlling interest</w:t>
            </w:r>
          </w:p>
        </w:tc>
        <w:tc>
          <w:tcPr>
            <w:tcW w:w="485" w:type="dxa"/>
            <w:tcBorders/>
            <w:shd w:fill="FFFFFF" w:val="clear"/>
            <w:vAlign w:val="center"/>
          </w:tcPr>
          <w:p>
            <w:pPr>
              <w:pStyle w:val="TableContents"/>
              <w:bidi w:val="0"/>
              <w:spacing w:before="0" w:after="283"/>
              <w:jc w:val="center"/>
              <w:rPr>
                <w:sz w:val="20"/>
              </w:rPr>
            </w:pPr>
            <w:r>
              <w:rPr>
                <w:sz w:val="20"/>
              </w:rPr>
              <w:t>30</w:t>
            </w:r>
          </w:p>
        </w:tc>
        <w:tc>
          <w:tcPr>
            <w:tcW w:w="650" w:type="dxa"/>
            <w:tcBorders/>
            <w:shd w:fill="FFFFFF" w:val="clear"/>
            <w:vAlign w:val="center"/>
          </w:tcPr>
          <w:p>
            <w:pPr>
              <w:pStyle w:val="TableContents"/>
              <w:bidi w:val="0"/>
              <w:spacing w:before="0" w:after="283"/>
              <w:jc w:val="right"/>
              <w:rPr>
                <w:sz w:val="20"/>
              </w:rPr>
            </w:pPr>
            <w:r>
              <w:rPr>
                <w:sz w:val="20"/>
              </w:rPr>
              <w:t>-</w:t>
            </w:r>
          </w:p>
        </w:tc>
        <w:tc>
          <w:tcPr>
            <w:tcW w:w="920" w:type="dxa"/>
            <w:tcBorders/>
            <w:shd w:fill="FFFFFF" w:val="clear"/>
            <w:vAlign w:val="center"/>
          </w:tcPr>
          <w:p>
            <w:pPr>
              <w:pStyle w:val="TableContents"/>
              <w:bidi w:val="0"/>
              <w:spacing w:before="0" w:after="283"/>
              <w:jc w:val="right"/>
              <w:rPr>
                <w:sz w:val="20"/>
              </w:rPr>
            </w:pPr>
            <w:r>
              <w:rPr>
                <w:sz w:val="20"/>
              </w:rPr>
              <w:t>-</w:t>
            </w:r>
          </w:p>
        </w:tc>
        <w:tc>
          <w:tcPr>
            <w:tcW w:w="725" w:type="dxa"/>
            <w:tcBorders/>
            <w:shd w:fill="FFFFFF" w:val="clear"/>
            <w:vAlign w:val="center"/>
          </w:tcPr>
          <w:p>
            <w:pPr>
              <w:pStyle w:val="TableContents"/>
              <w:bidi w:val="0"/>
              <w:spacing w:before="0" w:after="283"/>
              <w:jc w:val="right"/>
              <w:rPr>
                <w:sz w:val="20"/>
              </w:rPr>
            </w:pPr>
            <w:r>
              <w:rPr>
                <w:sz w:val="20"/>
              </w:rPr>
              <w:t>-</w:t>
            </w:r>
          </w:p>
        </w:tc>
        <w:tc>
          <w:tcPr>
            <w:tcW w:w="770" w:type="dxa"/>
            <w:tcBorders/>
            <w:shd w:fill="FFFFFF" w:val="clear"/>
            <w:vAlign w:val="center"/>
          </w:tcPr>
          <w:p>
            <w:pPr>
              <w:pStyle w:val="TableContents"/>
              <w:bidi w:val="0"/>
              <w:spacing w:before="0" w:after="283"/>
              <w:jc w:val="right"/>
              <w:rPr>
                <w:b/>
                <w:sz w:val="20"/>
              </w:rPr>
            </w:pPr>
            <w:r>
              <w:rPr>
                <w:b/>
                <w:sz w:val="20"/>
              </w:rPr>
              <w:t>-</w:t>
            </w:r>
          </w:p>
        </w:tc>
        <w:tc>
          <w:tcPr>
            <w:tcW w:w="770" w:type="dxa"/>
            <w:tcBorders/>
            <w:shd w:fill="FFFFFF" w:val="clear"/>
            <w:vAlign w:val="center"/>
          </w:tcPr>
          <w:p>
            <w:pPr>
              <w:pStyle w:val="TableContents"/>
              <w:bidi w:val="0"/>
              <w:spacing w:before="0" w:after="283"/>
              <w:jc w:val="righ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w:t>
            </w:r>
          </w:p>
        </w:tc>
        <w:tc>
          <w:tcPr>
            <w:tcW w:w="815" w:type="dxa"/>
            <w:tcBorders/>
            <w:shd w:fill="FFFFFF" w:val="clear"/>
            <w:vAlign w:val="center"/>
          </w:tcPr>
          <w:p>
            <w:pPr>
              <w:pStyle w:val="TableContents"/>
              <w:bidi w:val="0"/>
              <w:spacing w:before="0" w:after="283"/>
              <w:jc w:val="right"/>
              <w:rPr>
                <w:sz w:val="20"/>
              </w:rPr>
            </w:pPr>
            <w:r>
              <w:rPr>
                <w:sz w:val="20"/>
              </w:rPr>
              <w:t>-</w:t>
            </w:r>
          </w:p>
        </w:tc>
        <w:tc>
          <w:tcPr>
            <w:tcW w:w="1025" w:type="dxa"/>
            <w:tcBorders/>
            <w:shd w:fill="FFFFFF" w:val="clear"/>
            <w:vAlign w:val="center"/>
          </w:tcPr>
          <w:p>
            <w:pPr>
              <w:pStyle w:val="TableContents"/>
              <w:bidi w:val="0"/>
              <w:spacing w:before="0" w:after="283"/>
              <w:jc w:val="right"/>
              <w:rPr>
                <w:sz w:val="20"/>
              </w:rPr>
            </w:pPr>
            <w:r>
              <w:rPr>
                <w:sz w:val="20"/>
              </w:rPr>
              <w:t>-</w:t>
            </w:r>
          </w:p>
        </w:tc>
        <w:tc>
          <w:tcPr>
            <w:tcW w:w="1370" w:type="dxa"/>
            <w:tcBorders/>
            <w:shd w:fill="FFFFFF" w:val="clear"/>
            <w:vAlign w:val="center"/>
          </w:tcPr>
          <w:p>
            <w:pPr>
              <w:pStyle w:val="TableContents"/>
              <w:bidi w:val="0"/>
              <w:spacing w:before="0" w:after="283"/>
              <w:jc w:val="right"/>
              <w:rPr>
                <w:sz w:val="20"/>
              </w:rPr>
            </w:pPr>
            <w:r>
              <w:rPr>
                <w:sz w:val="20"/>
              </w:rPr>
              <w:t>32,380</w:t>
            </w:r>
          </w:p>
        </w:tc>
        <w:tc>
          <w:tcPr>
            <w:tcW w:w="710" w:type="dxa"/>
            <w:tcBorders/>
            <w:shd w:fill="FFFFFF" w:val="clear"/>
            <w:vAlign w:val="center"/>
          </w:tcPr>
          <w:p>
            <w:pPr>
              <w:pStyle w:val="TableContents"/>
              <w:bidi w:val="0"/>
              <w:spacing w:before="0" w:after="283"/>
              <w:jc w:val="right"/>
              <w:rPr>
                <w:sz w:val="20"/>
              </w:rPr>
            </w:pPr>
            <w:r>
              <w:rPr>
                <w:sz w:val="20"/>
              </w:rPr>
              <w:t>32,380</w:t>
            </w:r>
          </w:p>
        </w:tc>
      </w:tr>
      <w:tr>
        <w:trPr/>
        <w:tc>
          <w:tcPr>
            <w:tcW w:w="1355" w:type="dxa"/>
            <w:tcBorders/>
            <w:shd w:fill="D5EAEA" w:val="clear"/>
            <w:vAlign w:val="center"/>
          </w:tcPr>
          <w:p>
            <w:pPr>
              <w:pStyle w:val="TableContents"/>
              <w:bidi w:val="0"/>
              <w:spacing w:before="0" w:after="283"/>
              <w:jc w:val="left"/>
              <w:rPr>
                <w:sz w:val="20"/>
              </w:rPr>
            </w:pPr>
            <w:r>
              <w:rPr>
                <w:sz w:val="20"/>
              </w:rPr>
              <w:t xml:space="preserve">Purchase of treasury shares </w:t>
            </w:r>
          </w:p>
        </w:tc>
        <w:tc>
          <w:tcPr>
            <w:tcW w:w="485" w:type="dxa"/>
            <w:tcBorders/>
            <w:shd w:fill="D5EAEA" w:val="clear"/>
            <w:vAlign w:val="center"/>
          </w:tcPr>
          <w:p>
            <w:pPr>
              <w:pStyle w:val="TableContents"/>
              <w:bidi w:val="0"/>
              <w:spacing w:before="0" w:after="283"/>
              <w:jc w:val="center"/>
              <w:rPr>
                <w:sz w:val="20"/>
              </w:rPr>
            </w:pPr>
            <w:r>
              <w:rPr>
                <w:sz w:val="20"/>
              </w:rPr>
              <w:t>29(g)</w:t>
            </w:r>
          </w:p>
        </w:tc>
        <w:tc>
          <w:tcPr>
            <w:tcW w:w="650" w:type="dxa"/>
            <w:tcBorders/>
            <w:shd w:fill="D5EAEA" w:val="clear"/>
            <w:vAlign w:val="center"/>
          </w:tcPr>
          <w:p>
            <w:pPr>
              <w:pStyle w:val="TableContents"/>
              <w:bidi w:val="0"/>
              <w:spacing w:before="0" w:after="283"/>
              <w:jc w:val="right"/>
              <w:rPr>
                <w:sz w:val="20"/>
              </w:rPr>
            </w:pPr>
            <w:r>
              <w:rPr>
                <w:sz w:val="20"/>
              </w:rPr>
              <w:t>-</w:t>
            </w:r>
          </w:p>
        </w:tc>
        <w:tc>
          <w:tcPr>
            <w:tcW w:w="920" w:type="dxa"/>
            <w:tcBorders/>
            <w:shd w:fill="D5EAEA" w:val="clear"/>
            <w:vAlign w:val="center"/>
          </w:tcPr>
          <w:p>
            <w:pPr>
              <w:pStyle w:val="TableContents"/>
              <w:bidi w:val="0"/>
              <w:spacing w:before="0" w:after="283"/>
              <w:jc w:val="right"/>
              <w:rPr>
                <w:sz w:val="20"/>
              </w:rPr>
            </w:pPr>
            <w:r>
              <w:rPr>
                <w:sz w:val="20"/>
              </w:rPr>
              <w:t>-</w:t>
            </w:r>
          </w:p>
        </w:tc>
        <w:tc>
          <w:tcPr>
            <w:tcW w:w="725" w:type="dxa"/>
            <w:tcBorders/>
            <w:shd w:fill="D5EAEA" w:val="clear"/>
            <w:vAlign w:val="center"/>
          </w:tcPr>
          <w:p>
            <w:pPr>
              <w:pStyle w:val="TableContents"/>
              <w:bidi w:val="0"/>
              <w:spacing w:before="0" w:after="283"/>
              <w:jc w:val="right"/>
              <w:rPr>
                <w:sz w:val="20"/>
              </w:rPr>
            </w:pPr>
            <w:r>
              <w:rPr>
                <w:sz w:val="20"/>
              </w:rPr>
              <w:t>-</w:t>
            </w:r>
          </w:p>
        </w:tc>
        <w:tc>
          <w:tcPr>
            <w:tcW w:w="770" w:type="dxa"/>
            <w:tcBorders/>
            <w:shd w:fill="D5EAEA" w:val="clear"/>
            <w:vAlign w:val="center"/>
          </w:tcPr>
          <w:p>
            <w:pPr>
              <w:pStyle w:val="TableContents"/>
              <w:bidi w:val="0"/>
              <w:spacing w:before="0" w:after="283"/>
              <w:jc w:val="right"/>
              <w:rPr>
                <w:b/>
                <w:sz w:val="20"/>
              </w:rPr>
            </w:pPr>
            <w:r>
              <w:rPr>
                <w:b/>
                <w:sz w:val="20"/>
              </w:rPr>
              <w:t>-</w:t>
            </w:r>
          </w:p>
        </w:tc>
        <w:tc>
          <w:tcPr>
            <w:tcW w:w="770" w:type="dxa"/>
            <w:tcBorders/>
            <w:shd w:fill="D5EAEA" w:val="clear"/>
            <w:vAlign w:val="center"/>
          </w:tcPr>
          <w:p>
            <w:pPr>
              <w:pStyle w:val="TableContents"/>
              <w:bidi w:val="0"/>
              <w:spacing w:before="0" w:after="283"/>
              <w:jc w:val="right"/>
              <w:rPr>
                <w:sz w:val="20"/>
              </w:rPr>
            </w:pPr>
            <w:r>
              <w:rPr>
                <w:sz w:val="20"/>
              </w:rPr>
              <w:t>-</w:t>
            </w:r>
          </w:p>
        </w:tc>
        <w:tc>
          <w:tcPr>
            <w:tcW w:w="1010" w:type="dxa"/>
            <w:tcBorders/>
            <w:shd w:fill="D5EAEA" w:val="clear"/>
            <w:vAlign w:val="center"/>
          </w:tcPr>
          <w:p>
            <w:pPr>
              <w:pStyle w:val="TableContents"/>
              <w:bidi w:val="0"/>
              <w:spacing w:before="0" w:after="283"/>
              <w:jc w:val="right"/>
              <w:rPr>
                <w:sz w:val="20"/>
              </w:rPr>
            </w:pPr>
            <w:r>
              <w:rPr>
                <w:sz w:val="20"/>
              </w:rPr>
              <w:t>-</w:t>
            </w:r>
          </w:p>
        </w:tc>
        <w:tc>
          <w:tcPr>
            <w:tcW w:w="815" w:type="dxa"/>
            <w:tcBorders/>
            <w:shd w:fill="D5EAEA" w:val="clear"/>
            <w:vAlign w:val="center"/>
          </w:tcPr>
          <w:p>
            <w:pPr>
              <w:pStyle w:val="TableContents"/>
              <w:bidi w:val="0"/>
              <w:spacing w:before="0" w:after="283"/>
              <w:jc w:val="right"/>
              <w:rPr>
                <w:sz w:val="20"/>
              </w:rPr>
            </w:pPr>
            <w:r>
              <w:rPr>
                <w:sz w:val="20"/>
              </w:rPr>
              <w:t>(12,683)</w:t>
            </w:r>
          </w:p>
        </w:tc>
        <w:tc>
          <w:tcPr>
            <w:tcW w:w="1025" w:type="dxa"/>
            <w:tcBorders/>
            <w:shd w:fill="D5EAEA" w:val="clear"/>
            <w:vAlign w:val="center"/>
          </w:tcPr>
          <w:p>
            <w:pPr>
              <w:pStyle w:val="TableContents"/>
              <w:bidi w:val="0"/>
              <w:spacing w:before="0" w:after="283"/>
              <w:jc w:val="right"/>
              <w:rPr>
                <w:sz w:val="20"/>
              </w:rPr>
            </w:pPr>
            <w:r>
              <w:rPr>
                <w:sz w:val="20"/>
              </w:rPr>
              <w:t>(12,683)</w:t>
            </w:r>
          </w:p>
        </w:tc>
        <w:tc>
          <w:tcPr>
            <w:tcW w:w="137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sz w:val="20"/>
              </w:rPr>
            </w:pPr>
            <w:r>
              <w:rPr>
                <w:sz w:val="20"/>
              </w:rPr>
              <w:t>(12,683)</w:t>
            </w:r>
          </w:p>
        </w:tc>
      </w:tr>
      <w:tr>
        <w:trPr/>
        <w:tc>
          <w:tcPr>
            <w:tcW w:w="135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right"/>
              <w:rPr/>
            </w:pPr>
            <w:r>
              <w:rPr/>
              <w:t> </w:t>
            </w:r>
          </w:p>
        </w:tc>
        <w:tc>
          <w:tcPr>
            <w:tcW w:w="920"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7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pPr>
            <w:r>
              <w:rPr/>
              <w:t> </w:t>
            </w:r>
          </w:p>
        </w:tc>
        <w:tc>
          <w:tcPr>
            <w:tcW w:w="1370" w:type="dxa"/>
            <w:tcBorders/>
            <w:shd w:fill="FFFFFF" w:val="clear"/>
            <w:vAlign w:val="center"/>
          </w:tcPr>
          <w:p>
            <w:pPr>
              <w:pStyle w:val="TableContents"/>
              <w:bidi w:val="0"/>
              <w:spacing w:before="0" w:after="283"/>
              <w:jc w:val="right"/>
              <w:rPr/>
            </w:pPr>
            <w:r>
              <w:rPr/>
              <w:t> </w:t>
            </w:r>
          </w:p>
        </w:tc>
        <w:tc>
          <w:tcPr>
            <w:tcW w:w="710" w:type="dxa"/>
            <w:tcBorders/>
            <w:shd w:fill="FFFFFF" w:val="clear"/>
            <w:vAlign w:val="center"/>
          </w:tcPr>
          <w:p>
            <w:pPr>
              <w:pStyle w:val="TableContents"/>
              <w:bidi w:val="0"/>
              <w:spacing w:before="0" w:after="283"/>
              <w:jc w:val="right"/>
              <w:rPr/>
            </w:pPr>
            <w:r>
              <w:rPr/>
              <w:t> </w:t>
            </w:r>
          </w:p>
        </w:tc>
      </w:tr>
      <w:tr>
        <w:trPr/>
        <w:tc>
          <w:tcPr>
            <w:tcW w:w="1355" w:type="dxa"/>
            <w:tcBorders/>
            <w:shd w:fill="D5EAEA" w:val="clear"/>
            <w:vAlign w:val="center"/>
          </w:tcPr>
          <w:p>
            <w:pPr>
              <w:pStyle w:val="TableContents"/>
              <w:bidi w:val="0"/>
              <w:spacing w:before="0" w:after="283"/>
              <w:jc w:val="left"/>
              <w:rPr>
                <w:b/>
                <w:sz w:val="20"/>
              </w:rPr>
            </w:pPr>
            <w:r>
              <w:rPr>
                <w:b/>
                <w:sz w:val="20"/>
              </w:rPr>
              <w:t xml:space="preserve">Balance on June 30, 2026 </w:t>
            </w:r>
          </w:p>
        </w:tc>
        <w:tc>
          <w:tcPr>
            <w:tcW w:w="485" w:type="dxa"/>
            <w:tcBorders/>
            <w:shd w:fill="D5EAEA" w:val="clear"/>
            <w:vAlign w:val="center"/>
          </w:tcPr>
          <w:p>
            <w:pPr>
              <w:pStyle w:val="TableContents"/>
              <w:bidi w:val="0"/>
              <w:spacing w:before="0" w:after="283"/>
              <w:jc w:val="center"/>
              <w:rPr/>
            </w:pPr>
            <w:r>
              <w:rPr/>
              <w:t> </w:t>
            </w:r>
          </w:p>
        </w:tc>
        <w:tc>
          <w:tcPr>
            <w:tcW w:w="650"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16</w:t>
            </w:r>
          </w:p>
        </w:tc>
        <w:tc>
          <w:tcPr>
            <w:tcW w:w="920"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608,264</w:t>
            </w:r>
          </w:p>
        </w:tc>
        <w:tc>
          <w:tcPr>
            <w:tcW w:w="725"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45,462</w:t>
            </w:r>
          </w:p>
        </w:tc>
        <w:tc>
          <w:tcPr>
            <w:tcW w:w="770"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(49,035)</w:t>
            </w:r>
          </w:p>
        </w:tc>
        <w:tc>
          <w:tcPr>
            <w:tcW w:w="770"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w:t>
            </w:r>
          </w:p>
        </w:tc>
        <w:tc>
          <w:tcPr>
            <w:tcW w:w="1010"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(28,435)</w:t>
            </w:r>
          </w:p>
        </w:tc>
        <w:tc>
          <w:tcPr>
            <w:tcW w:w="815"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(12,683)</w:t>
            </w:r>
          </w:p>
        </w:tc>
        <w:tc>
          <w:tcPr>
            <w:tcW w:w="1025"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563,589</w:t>
            </w:r>
          </w:p>
        </w:tc>
        <w:tc>
          <w:tcPr>
            <w:tcW w:w="1370"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75,457</w:t>
            </w:r>
          </w:p>
        </w:tc>
        <w:tc>
          <w:tcPr>
            <w:tcW w:w="710"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639,046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Patria Investments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Cash Flows (unaudited)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six-month periods ended June 30, 2026, and 2025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United States dollars - US$)</w:t>
      </w:r>
    </w:p>
    <w:p>
      <w:pPr>
        <w:pStyle w:val="TextBody"/>
        <w:bidi w:val="0"/>
        <w:spacing w:before="0" w:after="0"/>
        <w:ind w:left="0" w:right="0" w:hanging="0"/>
        <w:jc w:val="center"/>
        <w:rPr>
          <w:caps w:val="false"/>
          <w:smallCaps w:val="false"/>
        </w:rPr>
      </w:pPr>
      <w:r>
        <w:rPr>
          <w:caps w:val="false"/>
          <w:smallCaps w:val="false"/>
        </w:rPr>
        <w:t> </w:t>
      </w:r>
    </w:p>
    <w:tbl>
      <w:tblPr>
        <w:tblW w:w="9959" w:type="dxa"/>
        <w:jc w:val="left"/>
        <w:tblInd w:w="0" w:type="dxa"/>
        <w:tblLayout w:type="fixed"/>
        <w:tblCellMar>
          <w:top w:w="0" w:type="dxa"/>
          <w:left w:w="0" w:type="dxa"/>
          <w:bottom w:w="0" w:type="dxa"/>
          <w:right w:w="0" w:type="dxa"/>
        </w:tblCellMar>
      </w:tblPr>
      <w:tblGrid>
        <w:gridCol w:w="6485"/>
        <w:gridCol w:w="680"/>
        <w:gridCol w:w="1602"/>
        <w:gridCol w:w="1192"/>
      </w:tblGrid>
      <w:tr>
        <w:trPr/>
        <w:tc>
          <w:tcPr>
            <w:tcW w:w="648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279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648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b/>
                <w:sz w:val="20"/>
              </w:rPr>
            </w:pPr>
            <w:r>
              <w:rPr>
                <w:b/>
                <w:sz w:val="20"/>
              </w:rPr>
              <w:t>Note</w:t>
            </w:r>
          </w:p>
        </w:tc>
        <w:tc>
          <w:tcPr>
            <w:tcW w:w="16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19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6485" w:type="dxa"/>
            <w:tcBorders/>
            <w:vAlign w:val="center"/>
          </w:tcPr>
          <w:p>
            <w:pPr>
              <w:pStyle w:val="TableContents"/>
              <w:bidi w:val="0"/>
              <w:spacing w:before="0" w:after="283"/>
              <w:jc w:val="left"/>
              <w:rPr>
                <w:b/>
                <w:sz w:val="20"/>
              </w:rPr>
            </w:pPr>
            <w:r>
              <w:rPr>
                <w:b/>
                <w:sz w:val="20"/>
              </w:rPr>
              <w:t>Cash flows from operating activities</w:t>
            </w:r>
          </w:p>
        </w:tc>
        <w:tc>
          <w:tcPr>
            <w:tcW w:w="680" w:type="dxa"/>
            <w:tcBorders/>
            <w:vAlign w:val="center"/>
          </w:tcPr>
          <w:p>
            <w:pPr>
              <w:pStyle w:val="TableContents"/>
              <w:bidi w:val="0"/>
              <w:spacing w:before="0" w:after="283"/>
              <w:jc w:val="right"/>
              <w:rPr/>
            </w:pPr>
            <w:r>
              <w:rPr/>
              <w:t> </w:t>
            </w:r>
          </w:p>
        </w:tc>
        <w:tc>
          <w:tcPr>
            <w:tcW w:w="1602" w:type="dxa"/>
            <w:tcBorders/>
            <w:vAlign w:val="center"/>
          </w:tcPr>
          <w:p>
            <w:pPr>
              <w:pStyle w:val="TableContents"/>
              <w:bidi w:val="0"/>
              <w:spacing w:before="0" w:after="283"/>
              <w:jc w:val="right"/>
              <w:rPr/>
            </w:pPr>
            <w:r>
              <w:rPr/>
              <w:t> </w:t>
            </w:r>
          </w:p>
        </w:tc>
        <w:tc>
          <w:tcPr>
            <w:tcW w:w="1192" w:type="dxa"/>
            <w:tcBorders/>
            <w:vAlign w:val="center"/>
          </w:tcPr>
          <w:p>
            <w:pPr>
              <w:pStyle w:val="TableContents"/>
              <w:bidi w:val="0"/>
              <w:spacing w:before="0" w:after="283"/>
              <w:jc w:val="right"/>
              <w:rPr/>
            </w:pPr>
            <w:r>
              <w:rPr/>
              <w:t> </w:t>
            </w:r>
          </w:p>
        </w:tc>
      </w:tr>
      <w:tr>
        <w:trPr/>
        <w:tc>
          <w:tcPr>
            <w:tcW w:w="6485" w:type="dxa"/>
            <w:tcBorders/>
            <w:shd w:fill="D5EAEA" w:val="clear"/>
            <w:vAlign w:val="center"/>
          </w:tcPr>
          <w:p>
            <w:pPr>
              <w:pStyle w:val="TableContents"/>
              <w:bidi w:val="0"/>
              <w:spacing w:before="0" w:after="283"/>
              <w:jc w:val="left"/>
              <w:rPr>
                <w:b/>
                <w:sz w:val="20"/>
              </w:rPr>
            </w:pPr>
            <w:r>
              <w:rPr>
                <w:b/>
                <w:sz w:val="20"/>
              </w:rPr>
              <w:t>Net income for the period</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19,212</w:t>
            </w:r>
          </w:p>
        </w:tc>
        <w:tc>
          <w:tcPr>
            <w:tcW w:w="1192" w:type="dxa"/>
            <w:tcBorders/>
            <w:shd w:fill="D5EAEA" w:val="clear"/>
            <w:vAlign w:val="center"/>
          </w:tcPr>
          <w:p>
            <w:pPr>
              <w:pStyle w:val="TableContents"/>
              <w:bidi w:val="0"/>
              <w:spacing w:before="0" w:after="283"/>
              <w:jc w:val="right"/>
              <w:rPr>
                <w:sz w:val="20"/>
              </w:rPr>
            </w:pPr>
            <w:r>
              <w:rPr>
                <w:sz w:val="20"/>
              </w:rPr>
              <w:t>30,679</w:t>
            </w:r>
          </w:p>
        </w:tc>
      </w:tr>
      <w:tr>
        <w:trPr/>
        <w:tc>
          <w:tcPr>
            <w:tcW w:w="6485" w:type="dxa"/>
            <w:tcBorders/>
            <w:shd w:fill="FFFFFF" w:val="clear"/>
            <w:vAlign w:val="center"/>
          </w:tcPr>
          <w:p>
            <w:pPr>
              <w:pStyle w:val="TableContents"/>
              <w:bidi w:val="0"/>
              <w:spacing w:before="0" w:after="283"/>
              <w:jc w:val="left"/>
              <w:rPr>
                <w:sz w:val="20"/>
              </w:rPr>
            </w:pPr>
            <w:r>
              <w:rPr>
                <w:sz w:val="20"/>
              </w:rPr>
              <w:t>Adjustments to net income for the period</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pPr>
            <w:r>
              <w:rPr/>
              <w:t> </w:t>
            </w:r>
          </w:p>
        </w:tc>
        <w:tc>
          <w:tcPr>
            <w:tcW w:w="1192" w:type="dxa"/>
            <w:tcBorders/>
            <w:shd w:fill="FFFFFF" w:val="clear"/>
            <w:vAlign w:val="center"/>
          </w:tcPr>
          <w:p>
            <w:pPr>
              <w:pStyle w:val="TableContents"/>
              <w:bidi w:val="0"/>
              <w:spacing w:before="0" w:after="283"/>
              <w:jc w:val="right"/>
              <w:rPr/>
            </w:pPr>
            <w:r>
              <w:rPr/>
              <w:t> </w:t>
            </w:r>
          </w:p>
        </w:tc>
      </w:tr>
      <w:tr>
        <w:trPr/>
        <w:tc>
          <w:tcPr>
            <w:tcW w:w="6485" w:type="dxa"/>
            <w:tcBorders/>
            <w:shd w:fill="D5EAEA" w:val="clear"/>
            <w:vAlign w:val="center"/>
          </w:tcPr>
          <w:p>
            <w:pPr>
              <w:pStyle w:val="TableContents"/>
              <w:bidi w:val="0"/>
              <w:spacing w:before="0" w:after="283"/>
              <w:jc w:val="left"/>
              <w:rPr/>
            </w:pPr>
            <w:r>
              <w:rPr/>
              <w:t> </w:t>
            </w:r>
            <w:r>
              <w:rPr>
                <w:sz w:val="20"/>
              </w:rPr>
              <w:t>Depreciation and amortization</w:t>
            </w:r>
          </w:p>
        </w:tc>
        <w:tc>
          <w:tcPr>
            <w:tcW w:w="680" w:type="dxa"/>
            <w:tcBorders/>
            <w:shd w:fill="D5EAEA" w:val="clear"/>
            <w:vAlign w:val="center"/>
          </w:tcPr>
          <w:p>
            <w:pPr>
              <w:pStyle w:val="TableContents"/>
              <w:bidi w:val="0"/>
              <w:spacing w:before="0" w:after="283"/>
              <w:jc w:val="center"/>
              <w:rPr>
                <w:sz w:val="20"/>
              </w:rPr>
            </w:pPr>
            <w:r>
              <w:rPr>
                <w:sz w:val="20"/>
              </w:rPr>
              <w:t>24 &amp; 25</w:t>
            </w:r>
          </w:p>
        </w:tc>
        <w:tc>
          <w:tcPr>
            <w:tcW w:w="1602" w:type="dxa"/>
            <w:tcBorders/>
            <w:shd w:fill="D5EAEA" w:val="clear"/>
            <w:vAlign w:val="center"/>
          </w:tcPr>
          <w:p>
            <w:pPr>
              <w:pStyle w:val="TableContents"/>
              <w:bidi w:val="0"/>
              <w:spacing w:before="0" w:after="283"/>
              <w:jc w:val="right"/>
              <w:rPr/>
            </w:pPr>
            <w:r>
              <w:rPr/>
              <w:t>        </w:t>
            </w:r>
            <w:r>
              <w:rPr>
                <w:sz w:val="20"/>
              </w:rPr>
              <w:t xml:space="preserve">26,124 </w:t>
            </w:r>
          </w:p>
        </w:tc>
        <w:tc>
          <w:tcPr>
            <w:tcW w:w="1192" w:type="dxa"/>
            <w:tcBorders/>
            <w:shd w:fill="D5EAEA" w:val="clear"/>
            <w:vAlign w:val="center"/>
          </w:tcPr>
          <w:p>
            <w:pPr>
              <w:pStyle w:val="TableContents"/>
              <w:bidi w:val="0"/>
              <w:spacing w:before="0" w:after="283"/>
              <w:jc w:val="right"/>
              <w:rPr>
                <w:sz w:val="20"/>
              </w:rPr>
            </w:pPr>
            <w:r>
              <w:rPr>
                <w:sz w:val="20"/>
              </w:rPr>
              <w:t>22,043</w:t>
            </w:r>
          </w:p>
        </w:tc>
      </w:tr>
      <w:tr>
        <w:trPr/>
        <w:tc>
          <w:tcPr>
            <w:tcW w:w="6485" w:type="dxa"/>
            <w:tcBorders/>
            <w:shd w:fill="FFFFFF" w:val="clear"/>
            <w:vAlign w:val="center"/>
          </w:tcPr>
          <w:p>
            <w:pPr>
              <w:pStyle w:val="TableContents"/>
              <w:bidi w:val="0"/>
              <w:spacing w:before="0" w:after="283"/>
              <w:jc w:val="left"/>
              <w:rPr/>
            </w:pPr>
            <w:r>
              <w:rPr/>
              <w:t> </w:t>
            </w:r>
            <w:r>
              <w:rPr>
                <w:sz w:val="20"/>
              </w:rPr>
              <w:t>Loan fees amortized</w:t>
            </w:r>
          </w:p>
        </w:tc>
        <w:tc>
          <w:tcPr>
            <w:tcW w:w="680" w:type="dxa"/>
            <w:tcBorders/>
            <w:shd w:fill="FFFFFF" w:val="clear"/>
            <w:vAlign w:val="center"/>
          </w:tcPr>
          <w:p>
            <w:pPr>
              <w:pStyle w:val="TableContents"/>
              <w:bidi w:val="0"/>
              <w:spacing w:before="0" w:after="283"/>
              <w:jc w:val="center"/>
              <w:rPr>
                <w:sz w:val="20"/>
              </w:rPr>
            </w:pPr>
            <w:r>
              <w:rPr>
                <w:sz w:val="20"/>
              </w:rPr>
              <w:t>16</w:t>
            </w:r>
          </w:p>
        </w:tc>
        <w:tc>
          <w:tcPr>
            <w:tcW w:w="1602" w:type="dxa"/>
            <w:tcBorders/>
            <w:shd w:fill="FFFFFF" w:val="clear"/>
            <w:vAlign w:val="center"/>
          </w:tcPr>
          <w:p>
            <w:pPr>
              <w:pStyle w:val="TableContents"/>
              <w:bidi w:val="0"/>
              <w:spacing w:before="0" w:after="283"/>
              <w:jc w:val="right"/>
              <w:rPr>
                <w:sz w:val="20"/>
              </w:rPr>
            </w:pPr>
            <w:r>
              <w:rPr>
                <w:sz w:val="20"/>
              </w:rPr>
              <w:t>1,748</w:t>
            </w:r>
          </w:p>
        </w:tc>
        <w:tc>
          <w:tcPr>
            <w:tcW w:w="1192" w:type="dxa"/>
            <w:tcBorders/>
            <w:shd w:fill="FFFFFF" w:val="clear"/>
            <w:vAlign w:val="center"/>
          </w:tcPr>
          <w:p>
            <w:pPr>
              <w:pStyle w:val="TableContents"/>
              <w:bidi w:val="0"/>
              <w:spacing w:before="0" w:after="283"/>
              <w:jc w:val="right"/>
              <w:rPr>
                <w:sz w:val="20"/>
              </w:rPr>
            </w:pPr>
            <w:r>
              <w:rPr>
                <w:sz w:val="20"/>
              </w:rPr>
              <w:t>405</w:t>
            </w:r>
          </w:p>
        </w:tc>
      </w:tr>
      <w:tr>
        <w:trPr/>
        <w:tc>
          <w:tcPr>
            <w:tcW w:w="6485" w:type="dxa"/>
            <w:tcBorders/>
            <w:shd w:fill="D5EAEA" w:val="clear"/>
            <w:vAlign w:val="center"/>
          </w:tcPr>
          <w:p>
            <w:pPr>
              <w:pStyle w:val="TableContents"/>
              <w:bidi w:val="0"/>
              <w:spacing w:before="0" w:after="283"/>
              <w:jc w:val="left"/>
              <w:rPr/>
            </w:pPr>
            <w:r>
              <w:rPr/>
              <w:t> </w:t>
            </w:r>
            <w:r>
              <w:rPr>
                <w:sz w:val="20"/>
              </w:rPr>
              <w:t>Financial investment income</w:t>
            </w:r>
          </w:p>
        </w:tc>
        <w:tc>
          <w:tcPr>
            <w:tcW w:w="680" w:type="dxa"/>
            <w:tcBorders/>
            <w:shd w:fill="D5EAEA" w:val="clear"/>
            <w:vAlign w:val="center"/>
          </w:tcPr>
          <w:p>
            <w:pPr>
              <w:pStyle w:val="TableContents"/>
              <w:bidi w:val="0"/>
              <w:spacing w:before="0" w:after="283"/>
              <w:jc w:val="center"/>
              <w:rPr>
                <w:sz w:val="20"/>
              </w:rPr>
            </w:pPr>
            <w:r>
              <w:rPr>
                <w:sz w:val="20"/>
              </w:rPr>
              <w:t>27</w:t>
            </w:r>
          </w:p>
        </w:tc>
        <w:tc>
          <w:tcPr>
            <w:tcW w:w="1602" w:type="dxa"/>
            <w:tcBorders/>
            <w:shd w:fill="D5EAEA" w:val="clear"/>
            <w:vAlign w:val="center"/>
          </w:tcPr>
          <w:p>
            <w:pPr>
              <w:pStyle w:val="TableContents"/>
              <w:bidi w:val="0"/>
              <w:spacing w:before="0" w:after="283"/>
              <w:jc w:val="right"/>
              <w:rPr/>
            </w:pPr>
            <w:r>
              <w:rPr/>
              <w:t>        </w:t>
            </w:r>
            <w:r>
              <w:rPr>
                <w:sz w:val="20"/>
              </w:rPr>
              <w:t>(3,638)</w:t>
            </w:r>
          </w:p>
        </w:tc>
        <w:tc>
          <w:tcPr>
            <w:tcW w:w="1192" w:type="dxa"/>
            <w:tcBorders/>
            <w:shd w:fill="D5EAEA" w:val="clear"/>
            <w:vAlign w:val="center"/>
          </w:tcPr>
          <w:p>
            <w:pPr>
              <w:pStyle w:val="TableContents"/>
              <w:bidi w:val="0"/>
              <w:spacing w:before="0" w:after="283"/>
              <w:jc w:val="right"/>
              <w:rPr>
                <w:sz w:val="20"/>
              </w:rPr>
            </w:pPr>
            <w:r>
              <w:rPr>
                <w:sz w:val="20"/>
              </w:rPr>
              <w:t>(1,433)</w:t>
            </w:r>
          </w:p>
        </w:tc>
      </w:tr>
      <w:tr>
        <w:trPr/>
        <w:tc>
          <w:tcPr>
            <w:tcW w:w="6485" w:type="dxa"/>
            <w:tcBorders/>
            <w:shd w:fill="FFFFFF" w:val="clear"/>
            <w:vAlign w:val="center"/>
          </w:tcPr>
          <w:p>
            <w:pPr>
              <w:pStyle w:val="TableContents"/>
              <w:bidi w:val="0"/>
              <w:spacing w:before="0" w:after="283"/>
              <w:jc w:val="left"/>
              <w:rPr/>
            </w:pPr>
            <w:r>
              <w:rPr/>
              <w:t> </w:t>
            </w:r>
            <w:r>
              <w:rPr>
                <w:sz w:val="20"/>
              </w:rPr>
              <w:t>Unrealized (gains)/losses on long-term investments</w:t>
            </w:r>
          </w:p>
        </w:tc>
        <w:tc>
          <w:tcPr>
            <w:tcW w:w="680" w:type="dxa"/>
            <w:tcBorders/>
            <w:shd w:fill="FFFFFF" w:val="clear"/>
            <w:vAlign w:val="center"/>
          </w:tcPr>
          <w:p>
            <w:pPr>
              <w:pStyle w:val="TableContents"/>
              <w:bidi w:val="0"/>
              <w:spacing w:before="0" w:after="283"/>
              <w:jc w:val="center"/>
              <w:rPr>
                <w:sz w:val="20"/>
              </w:rPr>
            </w:pPr>
            <w:r>
              <w:rPr>
                <w:sz w:val="20"/>
              </w:rPr>
              <w:t>27</w:t>
            </w:r>
          </w:p>
        </w:tc>
        <w:tc>
          <w:tcPr>
            <w:tcW w:w="1602" w:type="dxa"/>
            <w:tcBorders/>
            <w:shd w:fill="FFFFFF" w:val="clear"/>
            <w:vAlign w:val="center"/>
          </w:tcPr>
          <w:p>
            <w:pPr>
              <w:pStyle w:val="TableContents"/>
              <w:bidi w:val="0"/>
              <w:spacing w:before="0" w:after="283"/>
              <w:jc w:val="right"/>
              <w:rPr>
                <w:sz w:val="20"/>
              </w:rPr>
            </w:pPr>
            <w:r>
              <w:rPr>
                <w:sz w:val="20"/>
              </w:rPr>
              <w:t>(885)</w:t>
            </w:r>
          </w:p>
        </w:tc>
        <w:tc>
          <w:tcPr>
            <w:tcW w:w="1192" w:type="dxa"/>
            <w:tcBorders/>
            <w:shd w:fill="FFFFFF" w:val="clear"/>
            <w:vAlign w:val="center"/>
          </w:tcPr>
          <w:p>
            <w:pPr>
              <w:pStyle w:val="TableContents"/>
              <w:bidi w:val="0"/>
              <w:spacing w:before="0" w:after="283"/>
              <w:jc w:val="right"/>
              <w:rPr>
                <w:sz w:val="20"/>
              </w:rPr>
            </w:pPr>
            <w:r>
              <w:rPr>
                <w:sz w:val="20"/>
              </w:rPr>
              <w:t>6,317</w:t>
            </w:r>
          </w:p>
        </w:tc>
      </w:tr>
      <w:tr>
        <w:trPr/>
        <w:tc>
          <w:tcPr>
            <w:tcW w:w="6485" w:type="dxa"/>
            <w:tcBorders/>
            <w:shd w:fill="D5EAEA" w:val="clear"/>
            <w:vAlign w:val="center"/>
          </w:tcPr>
          <w:p>
            <w:pPr>
              <w:pStyle w:val="TableContents"/>
              <w:bidi w:val="0"/>
              <w:spacing w:before="0" w:after="283"/>
              <w:jc w:val="left"/>
              <w:rPr/>
            </w:pPr>
            <w:r>
              <w:rPr/>
              <w:t> </w:t>
            </w:r>
            <w:r>
              <w:rPr>
                <w:sz w:val="20"/>
              </w:rPr>
              <w:t>Unrealized (gains)/losses on warrant liability</w:t>
            </w:r>
          </w:p>
        </w:tc>
        <w:tc>
          <w:tcPr>
            <w:tcW w:w="680" w:type="dxa"/>
            <w:tcBorders/>
            <w:shd w:fill="D5EAEA" w:val="clear"/>
            <w:vAlign w:val="center"/>
          </w:tcPr>
          <w:p>
            <w:pPr>
              <w:pStyle w:val="TableContents"/>
              <w:bidi w:val="0"/>
              <w:spacing w:before="0" w:after="283"/>
              <w:jc w:val="center"/>
              <w:rPr>
                <w:sz w:val="20"/>
              </w:rPr>
            </w:pPr>
            <w:r>
              <w:rPr>
                <w:sz w:val="20"/>
              </w:rPr>
              <w:t>27</w:t>
            </w:r>
          </w:p>
        </w:tc>
        <w:tc>
          <w:tcPr>
            <w:tcW w:w="1602" w:type="dxa"/>
            <w:tcBorders/>
            <w:shd w:fill="D5EAEA" w:val="clear"/>
            <w:vAlign w:val="center"/>
          </w:tcPr>
          <w:p>
            <w:pPr>
              <w:pStyle w:val="TableContents"/>
              <w:bidi w:val="0"/>
              <w:spacing w:before="0" w:after="283"/>
              <w:jc w:val="right"/>
              <w:rPr>
                <w:sz w:val="20"/>
              </w:rPr>
            </w:pPr>
            <w:r>
              <w:rPr>
                <w:sz w:val="20"/>
              </w:rPr>
              <w:t>-</w:t>
            </w:r>
          </w:p>
        </w:tc>
        <w:tc>
          <w:tcPr>
            <w:tcW w:w="1192" w:type="dxa"/>
            <w:tcBorders/>
            <w:shd w:fill="D5EAEA" w:val="clear"/>
            <w:vAlign w:val="center"/>
          </w:tcPr>
          <w:p>
            <w:pPr>
              <w:pStyle w:val="TableContents"/>
              <w:bidi w:val="0"/>
              <w:spacing w:before="0" w:after="283"/>
              <w:jc w:val="right"/>
              <w:rPr>
                <w:sz w:val="20"/>
              </w:rPr>
            </w:pPr>
            <w:r>
              <w:rPr>
                <w:sz w:val="20"/>
              </w:rPr>
              <w:t>1,102</w:t>
            </w:r>
          </w:p>
        </w:tc>
      </w:tr>
      <w:tr>
        <w:trPr/>
        <w:tc>
          <w:tcPr>
            <w:tcW w:w="6485" w:type="dxa"/>
            <w:tcBorders/>
            <w:shd w:fill="FFFFFF" w:val="clear"/>
            <w:vAlign w:val="center"/>
          </w:tcPr>
          <w:p>
            <w:pPr>
              <w:pStyle w:val="TableContents"/>
              <w:bidi w:val="0"/>
              <w:spacing w:before="0" w:after="283"/>
              <w:jc w:val="left"/>
              <w:rPr/>
            </w:pPr>
            <w:r>
              <w:rPr/>
              <w:t> </w:t>
            </w:r>
            <w:r>
              <w:rPr>
                <w:sz w:val="20"/>
              </w:rPr>
              <w:t>Unrealized fair value adjustments on energy trading contracts</w:t>
            </w:r>
          </w:p>
        </w:tc>
        <w:tc>
          <w:tcPr>
            <w:tcW w:w="680" w:type="dxa"/>
            <w:tcBorders/>
            <w:shd w:fill="FFFFFF" w:val="clear"/>
            <w:vAlign w:val="center"/>
          </w:tcPr>
          <w:p>
            <w:pPr>
              <w:pStyle w:val="TableContents"/>
              <w:bidi w:val="0"/>
              <w:spacing w:before="0" w:after="283"/>
              <w:jc w:val="center"/>
              <w:rPr>
                <w:sz w:val="20"/>
              </w:rPr>
            </w:pPr>
            <w:r>
              <w:rPr>
                <w:sz w:val="20"/>
              </w:rPr>
              <w:t>26</w:t>
            </w:r>
          </w:p>
        </w:tc>
        <w:tc>
          <w:tcPr>
            <w:tcW w:w="1602" w:type="dxa"/>
            <w:tcBorders/>
            <w:shd w:fill="FFFFFF" w:val="clear"/>
            <w:vAlign w:val="center"/>
          </w:tcPr>
          <w:p>
            <w:pPr>
              <w:pStyle w:val="TableContents"/>
              <w:bidi w:val="0"/>
              <w:spacing w:before="0" w:after="283"/>
              <w:jc w:val="right"/>
              <w:rPr>
                <w:sz w:val="20"/>
              </w:rPr>
            </w:pPr>
            <w:r>
              <w:rPr>
                <w:sz w:val="20"/>
              </w:rPr>
              <w:t>(11,849)</w:t>
            </w:r>
          </w:p>
        </w:tc>
        <w:tc>
          <w:tcPr>
            <w:tcW w:w="1192" w:type="dxa"/>
            <w:tcBorders/>
            <w:shd w:fill="FFFFFF" w:val="clear"/>
            <w:vAlign w:val="center"/>
          </w:tcPr>
          <w:p>
            <w:pPr>
              <w:pStyle w:val="TableContents"/>
              <w:bidi w:val="0"/>
              <w:spacing w:before="0" w:after="283"/>
              <w:jc w:val="right"/>
              <w:rPr>
                <w:sz w:val="20"/>
              </w:rPr>
            </w:pPr>
            <w:r>
              <w:rPr>
                <w:sz w:val="20"/>
              </w:rPr>
              <w:t>(3,928)</w:t>
            </w:r>
          </w:p>
        </w:tc>
      </w:tr>
      <w:tr>
        <w:trPr/>
        <w:tc>
          <w:tcPr>
            <w:tcW w:w="6485" w:type="dxa"/>
            <w:tcBorders/>
            <w:shd w:fill="D5EAEA" w:val="clear"/>
            <w:vAlign w:val="center"/>
          </w:tcPr>
          <w:p>
            <w:pPr>
              <w:pStyle w:val="TableContents"/>
              <w:bidi w:val="0"/>
              <w:spacing w:before="0" w:after="283"/>
              <w:jc w:val="left"/>
              <w:rPr/>
            </w:pPr>
            <w:r>
              <w:rPr/>
              <w:t> </w:t>
            </w:r>
            <w:r>
              <w:rPr>
                <w:sz w:val="20"/>
              </w:rPr>
              <w:t>Unrealized (gains)/losses on asset-linked receivable</w:t>
            </w:r>
          </w:p>
        </w:tc>
        <w:tc>
          <w:tcPr>
            <w:tcW w:w="680" w:type="dxa"/>
            <w:tcBorders/>
            <w:shd w:fill="D5EAEA" w:val="clear"/>
            <w:vAlign w:val="center"/>
          </w:tcPr>
          <w:p>
            <w:pPr>
              <w:pStyle w:val="TableContents"/>
              <w:bidi w:val="0"/>
              <w:spacing w:before="0" w:after="283"/>
              <w:jc w:val="center"/>
              <w:rPr>
                <w:sz w:val="20"/>
              </w:rPr>
            </w:pPr>
            <w:r>
              <w:rPr>
                <w:sz w:val="20"/>
              </w:rPr>
              <w:t>27</w:t>
            </w:r>
          </w:p>
        </w:tc>
        <w:tc>
          <w:tcPr>
            <w:tcW w:w="1602" w:type="dxa"/>
            <w:tcBorders/>
            <w:shd w:fill="D5EAEA" w:val="clear"/>
            <w:vAlign w:val="center"/>
          </w:tcPr>
          <w:p>
            <w:pPr>
              <w:pStyle w:val="TableContents"/>
              <w:bidi w:val="0"/>
              <w:spacing w:before="0" w:after="283"/>
              <w:jc w:val="right"/>
              <w:rPr>
                <w:sz w:val="20"/>
              </w:rPr>
            </w:pPr>
            <w:r>
              <w:rPr>
                <w:sz w:val="20"/>
              </w:rPr>
              <w:t>-</w:t>
            </w:r>
          </w:p>
        </w:tc>
        <w:tc>
          <w:tcPr>
            <w:tcW w:w="1192" w:type="dxa"/>
            <w:tcBorders/>
            <w:shd w:fill="D5EAEA" w:val="clear"/>
            <w:vAlign w:val="center"/>
          </w:tcPr>
          <w:p>
            <w:pPr>
              <w:pStyle w:val="TableContents"/>
              <w:bidi w:val="0"/>
              <w:spacing w:before="0" w:after="283"/>
              <w:jc w:val="right"/>
              <w:rPr>
                <w:sz w:val="20"/>
              </w:rPr>
            </w:pPr>
            <w:r>
              <w:rPr>
                <w:sz w:val="20"/>
              </w:rPr>
              <w:t>(3,053)</w:t>
            </w:r>
          </w:p>
        </w:tc>
      </w:tr>
      <w:tr>
        <w:trPr/>
        <w:tc>
          <w:tcPr>
            <w:tcW w:w="6485" w:type="dxa"/>
            <w:tcBorders/>
            <w:shd w:fill="FFFFFF" w:val="clear"/>
            <w:vAlign w:val="center"/>
          </w:tcPr>
          <w:p>
            <w:pPr>
              <w:pStyle w:val="TableContents"/>
              <w:bidi w:val="0"/>
              <w:spacing w:before="0" w:after="283"/>
              <w:jc w:val="left"/>
              <w:rPr/>
            </w:pPr>
            <w:r>
              <w:rPr/>
              <w:t> </w:t>
            </w:r>
            <w:r>
              <w:rPr>
                <w:sz w:val="20"/>
              </w:rPr>
              <w:t>Unrealized (gains)/losses on other financial instruments</w:t>
            </w:r>
          </w:p>
        </w:tc>
        <w:tc>
          <w:tcPr>
            <w:tcW w:w="680" w:type="dxa"/>
            <w:tcBorders/>
            <w:shd w:fill="FFFFFF" w:val="clear"/>
            <w:vAlign w:val="center"/>
          </w:tcPr>
          <w:p>
            <w:pPr>
              <w:pStyle w:val="TableContents"/>
              <w:bidi w:val="0"/>
              <w:spacing w:before="0" w:after="283"/>
              <w:jc w:val="center"/>
              <w:rPr>
                <w:sz w:val="20"/>
              </w:rPr>
            </w:pPr>
            <w:r>
              <w:rPr>
                <w:sz w:val="20"/>
              </w:rPr>
              <w:t>27</w:t>
            </w:r>
          </w:p>
        </w:tc>
        <w:tc>
          <w:tcPr>
            <w:tcW w:w="1602" w:type="dxa"/>
            <w:tcBorders/>
            <w:shd w:fill="FFFFFF" w:val="clear"/>
            <w:vAlign w:val="center"/>
          </w:tcPr>
          <w:p>
            <w:pPr>
              <w:pStyle w:val="TableContents"/>
              <w:bidi w:val="0"/>
              <w:spacing w:before="0" w:after="283"/>
              <w:jc w:val="right"/>
              <w:rPr>
                <w:sz w:val="20"/>
              </w:rPr>
            </w:pPr>
            <w:r>
              <w:rPr>
                <w:sz w:val="20"/>
              </w:rPr>
              <w:t>(2,177)</w:t>
            </w:r>
          </w:p>
        </w:tc>
        <w:tc>
          <w:tcPr>
            <w:tcW w:w="1192" w:type="dxa"/>
            <w:tcBorders/>
            <w:shd w:fill="FFFFFF" w:val="clear"/>
            <w:vAlign w:val="center"/>
          </w:tcPr>
          <w:p>
            <w:pPr>
              <w:pStyle w:val="TableContents"/>
              <w:bidi w:val="0"/>
              <w:spacing w:before="0" w:after="283"/>
              <w:jc w:val="right"/>
              <w:rPr>
                <w:sz w:val="20"/>
              </w:rPr>
            </w:pPr>
            <w:r>
              <w:rPr>
                <w:sz w:val="20"/>
              </w:rPr>
              <w:t>929</w:t>
            </w:r>
          </w:p>
        </w:tc>
      </w:tr>
      <w:tr>
        <w:trPr/>
        <w:tc>
          <w:tcPr>
            <w:tcW w:w="6485" w:type="dxa"/>
            <w:tcBorders/>
            <w:shd w:fill="D5EAEA" w:val="clear"/>
            <w:vAlign w:val="center"/>
          </w:tcPr>
          <w:p>
            <w:pPr>
              <w:pStyle w:val="TableContents"/>
              <w:bidi w:val="0"/>
              <w:spacing w:before="0" w:after="283"/>
              <w:jc w:val="left"/>
              <w:rPr/>
            </w:pPr>
            <w:r>
              <w:rPr/>
              <w:t> </w:t>
            </w:r>
            <w:r>
              <w:rPr>
                <w:sz w:val="20"/>
              </w:rPr>
              <w:t>Unrealized (gains)/losses on total return swap</w:t>
            </w:r>
          </w:p>
        </w:tc>
        <w:tc>
          <w:tcPr>
            <w:tcW w:w="680" w:type="dxa"/>
            <w:tcBorders/>
            <w:shd w:fill="D5EAEA" w:val="clear"/>
            <w:vAlign w:val="center"/>
          </w:tcPr>
          <w:p>
            <w:pPr>
              <w:pStyle w:val="TableContents"/>
              <w:bidi w:val="0"/>
              <w:spacing w:before="0" w:after="283"/>
              <w:jc w:val="center"/>
              <w:rPr>
                <w:sz w:val="20"/>
              </w:rPr>
            </w:pPr>
            <w:r>
              <w:rPr>
                <w:sz w:val="20"/>
              </w:rPr>
              <w:t>27</w:t>
            </w:r>
          </w:p>
        </w:tc>
        <w:tc>
          <w:tcPr>
            <w:tcW w:w="1602" w:type="dxa"/>
            <w:tcBorders/>
            <w:shd w:fill="D5EAEA" w:val="clear"/>
            <w:vAlign w:val="center"/>
          </w:tcPr>
          <w:p>
            <w:pPr>
              <w:pStyle w:val="TableContents"/>
              <w:bidi w:val="0"/>
              <w:spacing w:before="0" w:after="283"/>
              <w:jc w:val="right"/>
              <w:rPr>
                <w:sz w:val="20"/>
              </w:rPr>
            </w:pPr>
            <w:r>
              <w:rPr>
                <w:sz w:val="20"/>
              </w:rPr>
              <w:t>10,108</w:t>
            </w:r>
          </w:p>
        </w:tc>
        <w:tc>
          <w:tcPr>
            <w:tcW w:w="1192" w:type="dxa"/>
            <w:tcBorders/>
            <w:shd w:fill="D5EAEA" w:val="clear"/>
            <w:vAlign w:val="center"/>
          </w:tcPr>
          <w:p>
            <w:pPr>
              <w:pStyle w:val="TableContents"/>
              <w:bidi w:val="0"/>
              <w:spacing w:before="0" w:after="283"/>
              <w:jc w:val="right"/>
              <w:rPr>
                <w:sz w:val="20"/>
              </w:rPr>
            </w:pPr>
            <w:r>
              <w:rPr>
                <w:sz w:val="20"/>
              </w:rPr>
              <w:t>-</w:t>
            </w:r>
          </w:p>
        </w:tc>
      </w:tr>
      <w:tr>
        <w:trPr/>
        <w:tc>
          <w:tcPr>
            <w:tcW w:w="6485" w:type="dxa"/>
            <w:tcBorders/>
            <w:shd w:fill="FFFFFF" w:val="clear"/>
            <w:vAlign w:val="center"/>
          </w:tcPr>
          <w:p>
            <w:pPr>
              <w:pStyle w:val="TableContents"/>
              <w:bidi w:val="0"/>
              <w:spacing w:before="0" w:after="283"/>
              <w:jc w:val="left"/>
              <w:rPr/>
            </w:pPr>
            <w:r>
              <w:rPr/>
              <w:t> </w:t>
            </w:r>
            <w:r>
              <w:rPr>
                <w:sz w:val="20"/>
              </w:rPr>
              <w:t>Consideration payable on acquisition adjustments</w:t>
            </w:r>
          </w:p>
        </w:tc>
        <w:tc>
          <w:tcPr>
            <w:tcW w:w="680" w:type="dxa"/>
            <w:tcBorders/>
            <w:shd w:fill="FFFFFF" w:val="clear"/>
            <w:vAlign w:val="center"/>
          </w:tcPr>
          <w:p>
            <w:pPr>
              <w:pStyle w:val="TableContents"/>
              <w:bidi w:val="0"/>
              <w:spacing w:before="0" w:after="283"/>
              <w:jc w:val="center"/>
              <w:rPr>
                <w:sz w:val="20"/>
              </w:rPr>
            </w:pPr>
            <w:r>
              <w:rPr>
                <w:sz w:val="20"/>
              </w:rPr>
              <w:t>27</w:t>
            </w:r>
          </w:p>
        </w:tc>
        <w:tc>
          <w:tcPr>
            <w:tcW w:w="1602" w:type="dxa"/>
            <w:tcBorders/>
            <w:shd w:fill="FFFFFF" w:val="clear"/>
            <w:vAlign w:val="center"/>
          </w:tcPr>
          <w:p>
            <w:pPr>
              <w:pStyle w:val="TableContents"/>
              <w:bidi w:val="0"/>
              <w:spacing w:before="0" w:after="283"/>
              <w:jc w:val="right"/>
              <w:rPr>
                <w:sz w:val="20"/>
              </w:rPr>
            </w:pPr>
            <w:r>
              <w:rPr>
                <w:sz w:val="20"/>
              </w:rPr>
              <w:t>8,648</w:t>
            </w:r>
          </w:p>
        </w:tc>
        <w:tc>
          <w:tcPr>
            <w:tcW w:w="1192" w:type="dxa"/>
            <w:tcBorders/>
            <w:shd w:fill="FFFFFF" w:val="clear"/>
            <w:vAlign w:val="center"/>
          </w:tcPr>
          <w:p>
            <w:pPr>
              <w:pStyle w:val="TableContents"/>
              <w:bidi w:val="0"/>
              <w:spacing w:before="0" w:after="283"/>
              <w:jc w:val="right"/>
              <w:rPr>
                <w:sz w:val="20"/>
              </w:rPr>
            </w:pPr>
            <w:r>
              <w:rPr>
                <w:sz w:val="20"/>
              </w:rPr>
              <w:t>6,332</w:t>
            </w:r>
          </w:p>
        </w:tc>
      </w:tr>
      <w:tr>
        <w:trPr/>
        <w:tc>
          <w:tcPr>
            <w:tcW w:w="6485" w:type="dxa"/>
            <w:tcBorders/>
            <w:shd w:fill="D5EAEA" w:val="clear"/>
            <w:vAlign w:val="center"/>
          </w:tcPr>
          <w:p>
            <w:pPr>
              <w:pStyle w:val="TableContents"/>
              <w:bidi w:val="0"/>
              <w:spacing w:before="0" w:after="283"/>
              <w:jc w:val="left"/>
              <w:rPr/>
            </w:pPr>
            <w:r>
              <w:rPr/>
              <w:t> </w:t>
            </w:r>
            <w:r>
              <w:rPr>
                <w:sz w:val="20"/>
              </w:rPr>
              <w:t>Gross obligation under put adjustments</w:t>
            </w:r>
          </w:p>
        </w:tc>
        <w:tc>
          <w:tcPr>
            <w:tcW w:w="680" w:type="dxa"/>
            <w:tcBorders/>
            <w:shd w:fill="D5EAEA" w:val="clear"/>
            <w:vAlign w:val="center"/>
          </w:tcPr>
          <w:p>
            <w:pPr>
              <w:pStyle w:val="TableContents"/>
              <w:bidi w:val="0"/>
              <w:spacing w:before="0" w:after="283"/>
              <w:jc w:val="center"/>
              <w:rPr>
                <w:sz w:val="20"/>
              </w:rPr>
            </w:pPr>
            <w:r>
              <w:rPr>
                <w:sz w:val="20"/>
              </w:rPr>
              <w:t>26</w:t>
            </w:r>
          </w:p>
        </w:tc>
        <w:tc>
          <w:tcPr>
            <w:tcW w:w="1602" w:type="dxa"/>
            <w:tcBorders/>
            <w:shd w:fill="D5EAEA" w:val="clear"/>
            <w:vAlign w:val="center"/>
          </w:tcPr>
          <w:p>
            <w:pPr>
              <w:pStyle w:val="TableContents"/>
              <w:bidi w:val="0"/>
              <w:spacing w:before="0" w:after="283"/>
              <w:jc w:val="right"/>
              <w:rPr>
                <w:sz w:val="20"/>
              </w:rPr>
            </w:pPr>
            <w:r>
              <w:rPr>
                <w:sz w:val="20"/>
              </w:rPr>
              <w:t>(1,548)</w:t>
            </w:r>
          </w:p>
        </w:tc>
        <w:tc>
          <w:tcPr>
            <w:tcW w:w="1192" w:type="dxa"/>
            <w:tcBorders/>
            <w:shd w:fill="D5EAEA" w:val="clear"/>
            <w:vAlign w:val="center"/>
          </w:tcPr>
          <w:p>
            <w:pPr>
              <w:pStyle w:val="TableContents"/>
              <w:bidi w:val="0"/>
              <w:spacing w:before="0" w:after="283"/>
              <w:jc w:val="right"/>
              <w:rPr>
                <w:sz w:val="20"/>
              </w:rPr>
            </w:pPr>
            <w:r>
              <w:rPr>
                <w:sz w:val="20"/>
              </w:rPr>
              <w:t>1,934</w:t>
            </w:r>
          </w:p>
        </w:tc>
      </w:tr>
      <w:tr>
        <w:trPr/>
        <w:tc>
          <w:tcPr>
            <w:tcW w:w="6485" w:type="dxa"/>
            <w:tcBorders/>
            <w:shd w:fill="FFFFFF" w:val="clear"/>
            <w:vAlign w:val="center"/>
          </w:tcPr>
          <w:p>
            <w:pPr>
              <w:pStyle w:val="TableContents"/>
              <w:bidi w:val="0"/>
              <w:spacing w:before="0" w:after="283"/>
              <w:jc w:val="left"/>
              <w:rPr/>
            </w:pPr>
            <w:r>
              <w:rPr/>
              <w:t> </w:t>
            </w:r>
            <w:r>
              <w:rPr>
                <w:sz w:val="20"/>
              </w:rPr>
              <w:t>Interest expense on asset-backed payable</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w:t>
            </w:r>
          </w:p>
        </w:tc>
        <w:tc>
          <w:tcPr>
            <w:tcW w:w="1192" w:type="dxa"/>
            <w:tcBorders/>
            <w:shd w:fill="FFFFFF" w:val="clear"/>
            <w:vAlign w:val="center"/>
          </w:tcPr>
          <w:p>
            <w:pPr>
              <w:pStyle w:val="TableContents"/>
              <w:bidi w:val="0"/>
              <w:spacing w:before="0" w:after="283"/>
              <w:jc w:val="right"/>
              <w:rPr>
                <w:sz w:val="20"/>
              </w:rPr>
            </w:pPr>
            <w:r>
              <w:rPr>
                <w:sz w:val="20"/>
              </w:rPr>
              <w:t>-</w:t>
            </w:r>
          </w:p>
        </w:tc>
      </w:tr>
      <w:tr>
        <w:trPr/>
        <w:tc>
          <w:tcPr>
            <w:tcW w:w="6485" w:type="dxa"/>
            <w:tcBorders/>
            <w:shd w:fill="D5EAEA" w:val="clear"/>
            <w:vAlign w:val="center"/>
          </w:tcPr>
          <w:p>
            <w:pPr>
              <w:pStyle w:val="TableContents"/>
              <w:bidi w:val="0"/>
              <w:spacing w:before="0" w:after="283"/>
              <w:jc w:val="left"/>
              <w:rPr/>
            </w:pPr>
            <w:r>
              <w:rPr/>
              <w:t> </w:t>
            </w:r>
            <w:r>
              <w:rPr>
                <w:sz w:val="20"/>
              </w:rPr>
              <w:t>Interest expense on accounts receivable</w:t>
            </w:r>
          </w:p>
        </w:tc>
        <w:tc>
          <w:tcPr>
            <w:tcW w:w="680" w:type="dxa"/>
            <w:tcBorders/>
            <w:shd w:fill="D5EAEA" w:val="clear"/>
            <w:vAlign w:val="center"/>
          </w:tcPr>
          <w:p>
            <w:pPr>
              <w:pStyle w:val="TableContents"/>
              <w:bidi w:val="0"/>
              <w:spacing w:before="0" w:after="283"/>
              <w:jc w:val="center"/>
              <w:rPr>
                <w:sz w:val="20"/>
              </w:rPr>
            </w:pPr>
            <w:r>
              <w:rPr>
                <w:sz w:val="20"/>
              </w:rPr>
              <w:t>27</w:t>
            </w:r>
          </w:p>
        </w:tc>
        <w:tc>
          <w:tcPr>
            <w:tcW w:w="1602" w:type="dxa"/>
            <w:tcBorders/>
            <w:shd w:fill="D5EAEA" w:val="clear"/>
            <w:vAlign w:val="center"/>
          </w:tcPr>
          <w:p>
            <w:pPr>
              <w:pStyle w:val="TableContents"/>
              <w:bidi w:val="0"/>
              <w:spacing w:before="0" w:after="283"/>
              <w:jc w:val="right"/>
              <w:rPr>
                <w:sz w:val="20"/>
              </w:rPr>
            </w:pPr>
            <w:r>
              <w:rPr>
                <w:sz w:val="20"/>
              </w:rPr>
              <w:t>-</w:t>
            </w:r>
          </w:p>
        </w:tc>
        <w:tc>
          <w:tcPr>
            <w:tcW w:w="1192" w:type="dxa"/>
            <w:tcBorders/>
            <w:shd w:fill="D5EAEA" w:val="clear"/>
            <w:vAlign w:val="center"/>
          </w:tcPr>
          <w:p>
            <w:pPr>
              <w:pStyle w:val="TableContents"/>
              <w:bidi w:val="0"/>
              <w:spacing w:before="0" w:after="283"/>
              <w:jc w:val="right"/>
              <w:rPr>
                <w:sz w:val="20"/>
              </w:rPr>
            </w:pPr>
            <w:r>
              <w:rPr>
                <w:sz w:val="20"/>
              </w:rPr>
              <w:t>3,086</w:t>
            </w:r>
          </w:p>
        </w:tc>
      </w:tr>
      <w:tr>
        <w:trPr/>
        <w:tc>
          <w:tcPr>
            <w:tcW w:w="6485" w:type="dxa"/>
            <w:tcBorders/>
            <w:shd w:fill="FFFFFF" w:val="clear"/>
            <w:vAlign w:val="center"/>
          </w:tcPr>
          <w:p>
            <w:pPr>
              <w:pStyle w:val="TableContents"/>
              <w:bidi w:val="0"/>
              <w:spacing w:before="0" w:after="283"/>
              <w:jc w:val="left"/>
              <w:rPr/>
            </w:pPr>
            <w:r>
              <w:rPr/>
              <w:t> </w:t>
            </w:r>
            <w:r>
              <w:rPr>
                <w:sz w:val="20"/>
              </w:rPr>
              <w:t>Interest expense on loans</w:t>
            </w:r>
          </w:p>
        </w:tc>
        <w:tc>
          <w:tcPr>
            <w:tcW w:w="680" w:type="dxa"/>
            <w:tcBorders/>
            <w:shd w:fill="FFFFFF" w:val="clear"/>
            <w:vAlign w:val="center"/>
          </w:tcPr>
          <w:p>
            <w:pPr>
              <w:pStyle w:val="TableContents"/>
              <w:bidi w:val="0"/>
              <w:spacing w:before="0" w:after="283"/>
              <w:jc w:val="center"/>
              <w:rPr>
                <w:sz w:val="20"/>
              </w:rPr>
            </w:pPr>
            <w:r>
              <w:rPr>
                <w:sz w:val="20"/>
              </w:rPr>
              <w:t>27</w:t>
            </w:r>
          </w:p>
        </w:tc>
        <w:tc>
          <w:tcPr>
            <w:tcW w:w="1602" w:type="dxa"/>
            <w:tcBorders/>
            <w:shd w:fill="FFFFFF" w:val="clear"/>
            <w:vAlign w:val="center"/>
          </w:tcPr>
          <w:p>
            <w:pPr>
              <w:pStyle w:val="TableContents"/>
              <w:bidi w:val="0"/>
              <w:spacing w:before="0" w:after="283"/>
              <w:jc w:val="right"/>
              <w:rPr>
                <w:sz w:val="20"/>
              </w:rPr>
            </w:pPr>
            <w:r>
              <w:rPr>
                <w:sz w:val="20"/>
              </w:rPr>
              <w:t>8,488</w:t>
            </w:r>
          </w:p>
        </w:tc>
        <w:tc>
          <w:tcPr>
            <w:tcW w:w="1192" w:type="dxa"/>
            <w:tcBorders/>
            <w:shd w:fill="FFFFFF" w:val="clear"/>
            <w:vAlign w:val="center"/>
          </w:tcPr>
          <w:p>
            <w:pPr>
              <w:pStyle w:val="TableContents"/>
              <w:bidi w:val="0"/>
              <w:spacing w:before="0" w:after="283"/>
              <w:jc w:val="right"/>
              <w:rPr>
                <w:sz w:val="20"/>
              </w:rPr>
            </w:pPr>
            <w:r>
              <w:rPr>
                <w:sz w:val="20"/>
              </w:rPr>
              <w:t>6,978</w:t>
            </w:r>
          </w:p>
        </w:tc>
      </w:tr>
      <w:tr>
        <w:trPr/>
        <w:tc>
          <w:tcPr>
            <w:tcW w:w="6485" w:type="dxa"/>
            <w:tcBorders/>
            <w:shd w:fill="D5EAEA" w:val="clear"/>
            <w:vAlign w:val="center"/>
          </w:tcPr>
          <w:p>
            <w:pPr>
              <w:pStyle w:val="TableContents"/>
              <w:bidi w:val="0"/>
              <w:spacing w:before="0" w:after="283"/>
              <w:jc w:val="left"/>
              <w:rPr/>
            </w:pPr>
            <w:r>
              <w:rPr/>
              <w:t> </w:t>
            </w:r>
            <w:r>
              <w:rPr>
                <w:sz w:val="20"/>
              </w:rPr>
              <w:t>Interest expense on lease liabilities</w:t>
            </w:r>
          </w:p>
        </w:tc>
        <w:tc>
          <w:tcPr>
            <w:tcW w:w="680" w:type="dxa"/>
            <w:tcBorders/>
            <w:shd w:fill="D5EAEA" w:val="clear"/>
            <w:vAlign w:val="center"/>
          </w:tcPr>
          <w:p>
            <w:pPr>
              <w:pStyle w:val="TableContents"/>
              <w:bidi w:val="0"/>
              <w:spacing w:before="0" w:after="283"/>
              <w:jc w:val="center"/>
              <w:rPr>
                <w:sz w:val="20"/>
              </w:rPr>
            </w:pPr>
            <w:r>
              <w:rPr>
                <w:sz w:val="20"/>
              </w:rPr>
              <w:t>27</w:t>
            </w:r>
          </w:p>
        </w:tc>
        <w:tc>
          <w:tcPr>
            <w:tcW w:w="1602" w:type="dxa"/>
            <w:tcBorders/>
            <w:shd w:fill="D5EAEA" w:val="clear"/>
            <w:vAlign w:val="center"/>
          </w:tcPr>
          <w:p>
            <w:pPr>
              <w:pStyle w:val="TableContents"/>
              <w:bidi w:val="0"/>
              <w:spacing w:before="0" w:after="283"/>
              <w:jc w:val="right"/>
              <w:rPr>
                <w:sz w:val="20"/>
              </w:rPr>
            </w:pPr>
            <w:r>
              <w:rPr>
                <w:sz w:val="20"/>
              </w:rPr>
              <w:t>866</w:t>
            </w:r>
          </w:p>
        </w:tc>
        <w:tc>
          <w:tcPr>
            <w:tcW w:w="1192" w:type="dxa"/>
            <w:tcBorders/>
            <w:shd w:fill="D5EAEA" w:val="clear"/>
            <w:vAlign w:val="center"/>
          </w:tcPr>
          <w:p>
            <w:pPr>
              <w:pStyle w:val="TableContents"/>
              <w:bidi w:val="0"/>
              <w:spacing w:before="0" w:after="283"/>
              <w:jc w:val="right"/>
              <w:rPr>
                <w:sz w:val="20"/>
              </w:rPr>
            </w:pPr>
            <w:r>
              <w:rPr>
                <w:sz w:val="20"/>
              </w:rPr>
              <w:t>854</w:t>
            </w:r>
          </w:p>
        </w:tc>
      </w:tr>
      <w:tr>
        <w:trPr/>
        <w:tc>
          <w:tcPr>
            <w:tcW w:w="6485" w:type="dxa"/>
            <w:tcBorders/>
            <w:shd w:fill="FFFFFF" w:val="clear"/>
            <w:vAlign w:val="center"/>
          </w:tcPr>
          <w:p>
            <w:pPr>
              <w:pStyle w:val="TableContents"/>
              <w:bidi w:val="0"/>
              <w:spacing w:before="0" w:after="283"/>
              <w:jc w:val="left"/>
              <w:rPr/>
            </w:pPr>
            <w:r>
              <w:rPr/>
              <w:t> </w:t>
            </w:r>
            <w:r>
              <w:rPr>
                <w:sz w:val="20"/>
              </w:rPr>
              <w:t>Deferred income taxes expense</w:t>
            </w:r>
          </w:p>
        </w:tc>
        <w:tc>
          <w:tcPr>
            <w:tcW w:w="680" w:type="dxa"/>
            <w:tcBorders/>
            <w:shd w:fill="FFFFFF" w:val="clear"/>
            <w:vAlign w:val="center"/>
          </w:tcPr>
          <w:p>
            <w:pPr>
              <w:pStyle w:val="TableContents"/>
              <w:bidi w:val="0"/>
              <w:spacing w:before="0" w:after="283"/>
              <w:jc w:val="center"/>
              <w:rPr>
                <w:sz w:val="20"/>
              </w:rPr>
            </w:pPr>
            <w:r>
              <w:rPr>
                <w:sz w:val="20"/>
              </w:rPr>
              <w:t>28</w:t>
            </w:r>
          </w:p>
        </w:tc>
        <w:tc>
          <w:tcPr>
            <w:tcW w:w="1602" w:type="dxa"/>
            <w:tcBorders/>
            <w:shd w:fill="FFFFFF" w:val="clear"/>
            <w:vAlign w:val="center"/>
          </w:tcPr>
          <w:p>
            <w:pPr>
              <w:pStyle w:val="TableContents"/>
              <w:bidi w:val="0"/>
              <w:spacing w:before="0" w:after="283"/>
              <w:jc w:val="right"/>
              <w:rPr>
                <w:sz w:val="20"/>
              </w:rPr>
            </w:pPr>
            <w:r>
              <w:rPr>
                <w:sz w:val="20"/>
              </w:rPr>
              <w:t>(4,653)</w:t>
            </w:r>
          </w:p>
        </w:tc>
        <w:tc>
          <w:tcPr>
            <w:tcW w:w="1192" w:type="dxa"/>
            <w:tcBorders/>
            <w:shd w:fill="FFFFFF" w:val="clear"/>
            <w:vAlign w:val="center"/>
          </w:tcPr>
          <w:p>
            <w:pPr>
              <w:pStyle w:val="TableContents"/>
              <w:bidi w:val="0"/>
              <w:spacing w:before="0" w:after="283"/>
              <w:jc w:val="right"/>
              <w:rPr>
                <w:sz w:val="20"/>
              </w:rPr>
            </w:pPr>
            <w:r>
              <w:rPr>
                <w:sz w:val="20"/>
              </w:rPr>
              <w:t>(8,730)</w:t>
            </w:r>
          </w:p>
        </w:tc>
      </w:tr>
      <w:tr>
        <w:trPr/>
        <w:tc>
          <w:tcPr>
            <w:tcW w:w="6485" w:type="dxa"/>
            <w:tcBorders/>
            <w:shd w:fill="D5EAEA" w:val="clear"/>
            <w:vAlign w:val="center"/>
          </w:tcPr>
          <w:p>
            <w:pPr>
              <w:pStyle w:val="TableContents"/>
              <w:bidi w:val="0"/>
              <w:spacing w:before="0" w:after="283"/>
              <w:jc w:val="left"/>
              <w:rPr/>
            </w:pPr>
            <w:r>
              <w:rPr/>
              <w:t> </w:t>
            </w:r>
            <w:r>
              <w:rPr>
                <w:sz w:val="20"/>
              </w:rPr>
              <w:t>Current income taxes expense</w:t>
            </w:r>
          </w:p>
        </w:tc>
        <w:tc>
          <w:tcPr>
            <w:tcW w:w="680" w:type="dxa"/>
            <w:tcBorders/>
            <w:shd w:fill="D5EAEA" w:val="clear"/>
            <w:vAlign w:val="center"/>
          </w:tcPr>
          <w:p>
            <w:pPr>
              <w:pStyle w:val="TableContents"/>
              <w:bidi w:val="0"/>
              <w:spacing w:before="0" w:after="283"/>
              <w:jc w:val="center"/>
              <w:rPr>
                <w:sz w:val="20"/>
              </w:rPr>
            </w:pPr>
            <w:r>
              <w:rPr>
                <w:sz w:val="20"/>
              </w:rPr>
              <w:t>28</w:t>
            </w:r>
          </w:p>
        </w:tc>
        <w:tc>
          <w:tcPr>
            <w:tcW w:w="1602" w:type="dxa"/>
            <w:tcBorders/>
            <w:shd w:fill="D5EAEA" w:val="clear"/>
            <w:vAlign w:val="center"/>
          </w:tcPr>
          <w:p>
            <w:pPr>
              <w:pStyle w:val="TableContents"/>
              <w:bidi w:val="0"/>
              <w:spacing w:before="0" w:after="283"/>
              <w:jc w:val="right"/>
              <w:rPr>
                <w:sz w:val="20"/>
              </w:rPr>
            </w:pPr>
            <w:r>
              <w:rPr>
                <w:sz w:val="20"/>
              </w:rPr>
              <w:t>11,552</w:t>
            </w:r>
          </w:p>
        </w:tc>
        <w:tc>
          <w:tcPr>
            <w:tcW w:w="1192" w:type="dxa"/>
            <w:tcBorders/>
            <w:shd w:fill="D5EAEA" w:val="clear"/>
            <w:vAlign w:val="center"/>
          </w:tcPr>
          <w:p>
            <w:pPr>
              <w:pStyle w:val="TableContents"/>
              <w:bidi w:val="0"/>
              <w:spacing w:before="0" w:after="283"/>
              <w:jc w:val="right"/>
              <w:rPr>
                <w:sz w:val="20"/>
              </w:rPr>
            </w:pPr>
            <w:r>
              <w:rPr>
                <w:sz w:val="20"/>
              </w:rPr>
              <w:t>7,605</w:t>
            </w:r>
          </w:p>
        </w:tc>
      </w:tr>
      <w:tr>
        <w:trPr/>
        <w:tc>
          <w:tcPr>
            <w:tcW w:w="6485" w:type="dxa"/>
            <w:tcBorders/>
            <w:shd w:fill="FFFFFF" w:val="clear"/>
            <w:vAlign w:val="center"/>
          </w:tcPr>
          <w:p>
            <w:pPr>
              <w:pStyle w:val="TableContents"/>
              <w:bidi w:val="0"/>
              <w:spacing w:before="0" w:after="283"/>
              <w:jc w:val="left"/>
              <w:rPr/>
            </w:pPr>
            <w:r>
              <w:rPr/>
              <w:t> </w:t>
            </w:r>
            <w:r>
              <w:rPr>
                <w:sz w:val="20"/>
              </w:rPr>
              <w:t xml:space="preserve">Share based incentive plan </w:t>
            </w:r>
          </w:p>
        </w:tc>
        <w:tc>
          <w:tcPr>
            <w:tcW w:w="680" w:type="dxa"/>
            <w:tcBorders/>
            <w:shd w:fill="FFFFFF" w:val="clear"/>
            <w:vAlign w:val="center"/>
          </w:tcPr>
          <w:p>
            <w:pPr>
              <w:pStyle w:val="TableContents"/>
              <w:bidi w:val="0"/>
              <w:spacing w:before="0" w:after="283"/>
              <w:jc w:val="center"/>
              <w:rPr>
                <w:sz w:val="20"/>
              </w:rPr>
            </w:pPr>
            <w:r>
              <w:rPr>
                <w:sz w:val="20"/>
              </w:rPr>
              <w:t>23</w:t>
            </w:r>
          </w:p>
        </w:tc>
        <w:tc>
          <w:tcPr>
            <w:tcW w:w="1602" w:type="dxa"/>
            <w:tcBorders/>
            <w:shd w:fill="FFFFFF" w:val="clear"/>
            <w:vAlign w:val="center"/>
          </w:tcPr>
          <w:p>
            <w:pPr>
              <w:pStyle w:val="TableContents"/>
              <w:bidi w:val="0"/>
              <w:spacing w:before="0" w:after="283"/>
              <w:jc w:val="right"/>
              <w:rPr>
                <w:sz w:val="20"/>
              </w:rPr>
            </w:pPr>
            <w:r>
              <w:rPr>
                <w:sz w:val="20"/>
              </w:rPr>
              <w:t>11,626</w:t>
            </w:r>
          </w:p>
        </w:tc>
        <w:tc>
          <w:tcPr>
            <w:tcW w:w="1192" w:type="dxa"/>
            <w:tcBorders/>
            <w:shd w:fill="FFFFFF" w:val="clear"/>
            <w:vAlign w:val="center"/>
          </w:tcPr>
          <w:p>
            <w:pPr>
              <w:pStyle w:val="TableContents"/>
              <w:bidi w:val="0"/>
              <w:spacing w:before="0" w:after="283"/>
              <w:jc w:val="right"/>
              <w:rPr>
                <w:sz w:val="20"/>
              </w:rPr>
            </w:pPr>
            <w:r>
              <w:rPr>
                <w:sz w:val="20"/>
              </w:rPr>
              <w:t>7,439</w:t>
            </w:r>
          </w:p>
        </w:tc>
      </w:tr>
      <w:tr>
        <w:trPr/>
        <w:tc>
          <w:tcPr>
            <w:tcW w:w="6485" w:type="dxa"/>
            <w:tcBorders/>
            <w:shd w:fill="D5EAEA" w:val="clear"/>
            <w:vAlign w:val="center"/>
          </w:tcPr>
          <w:p>
            <w:pPr>
              <w:pStyle w:val="TableContents"/>
              <w:bidi w:val="0"/>
              <w:spacing w:before="0" w:after="283"/>
              <w:jc w:val="left"/>
              <w:rPr/>
            </w:pPr>
            <w:r>
              <w:rPr/>
              <w:t> </w:t>
            </w:r>
            <w:r>
              <w:rPr>
                <w:sz w:val="20"/>
              </w:rPr>
              <w:t>Deferred consideration expense</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2,745</w:t>
            </w:r>
          </w:p>
        </w:tc>
        <w:tc>
          <w:tcPr>
            <w:tcW w:w="1192" w:type="dxa"/>
            <w:tcBorders/>
            <w:shd w:fill="D5EAEA" w:val="clear"/>
            <w:vAlign w:val="center"/>
          </w:tcPr>
          <w:p>
            <w:pPr>
              <w:pStyle w:val="TableContents"/>
              <w:bidi w:val="0"/>
              <w:spacing w:before="0" w:after="283"/>
              <w:jc w:val="right"/>
              <w:rPr>
                <w:sz w:val="20"/>
              </w:rPr>
            </w:pPr>
            <w:r>
              <w:rPr>
                <w:sz w:val="20"/>
              </w:rPr>
              <w:t>1,606</w:t>
            </w:r>
          </w:p>
        </w:tc>
      </w:tr>
      <w:tr>
        <w:trPr/>
        <w:tc>
          <w:tcPr>
            <w:tcW w:w="6485" w:type="dxa"/>
            <w:tcBorders/>
            <w:shd w:fill="FFFFFF" w:val="clear"/>
            <w:vAlign w:val="center"/>
          </w:tcPr>
          <w:p>
            <w:pPr>
              <w:pStyle w:val="TableContents"/>
              <w:bidi w:val="0"/>
              <w:spacing w:before="0" w:after="283"/>
              <w:jc w:val="left"/>
              <w:rPr/>
            </w:pPr>
            <w:r>
              <w:rPr/>
              <w:t> </w:t>
            </w:r>
            <w:r>
              <w:rPr>
                <w:sz w:val="20"/>
              </w:rPr>
              <w:t xml:space="preserve">Other </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w:t>
            </w:r>
          </w:p>
        </w:tc>
        <w:tc>
          <w:tcPr>
            <w:tcW w:w="1192" w:type="dxa"/>
            <w:tcBorders/>
            <w:shd w:fill="FFFFFF" w:val="clear"/>
            <w:vAlign w:val="center"/>
          </w:tcPr>
          <w:p>
            <w:pPr>
              <w:pStyle w:val="TableContents"/>
              <w:bidi w:val="0"/>
              <w:spacing w:before="0" w:after="283"/>
              <w:jc w:val="right"/>
              <w:rPr>
                <w:sz w:val="20"/>
              </w:rPr>
            </w:pPr>
            <w:r>
              <w:rPr>
                <w:sz w:val="20"/>
              </w:rPr>
              <w:t>250</w:t>
            </w:r>
          </w:p>
        </w:tc>
      </w:tr>
      <w:tr>
        <w:trPr/>
        <w:tc>
          <w:tcPr>
            <w:tcW w:w="6485" w:type="dxa"/>
            <w:tcBorders/>
            <w:shd w:fill="D5EAEA" w:val="clear"/>
            <w:vAlign w:val="center"/>
          </w:tcPr>
          <w:p>
            <w:pPr>
              <w:pStyle w:val="TableContents"/>
              <w:bidi w:val="0"/>
              <w:spacing w:before="0" w:after="283"/>
              <w:jc w:val="left"/>
              <w:rPr/>
            </w:pPr>
            <w:r>
              <w:rPr/>
              <w:t> </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pPr>
            <w:r>
              <w:rPr/>
              <w:t> </w:t>
            </w:r>
          </w:p>
        </w:tc>
        <w:tc>
          <w:tcPr>
            <w:tcW w:w="1192" w:type="dxa"/>
            <w:tcBorders/>
            <w:shd w:fill="D5EAEA" w:val="clear"/>
            <w:vAlign w:val="center"/>
          </w:tcPr>
          <w:p>
            <w:pPr>
              <w:pStyle w:val="TableContents"/>
              <w:bidi w:val="0"/>
              <w:spacing w:before="0" w:after="283"/>
              <w:jc w:val="right"/>
              <w:rPr/>
            </w:pPr>
            <w:r>
              <w:rPr/>
              <w:t> </w:t>
            </w:r>
          </w:p>
        </w:tc>
      </w:tr>
      <w:tr>
        <w:trPr/>
        <w:tc>
          <w:tcPr>
            <w:tcW w:w="6485" w:type="dxa"/>
            <w:tcBorders/>
            <w:shd w:fill="FFFFFF" w:val="clear"/>
            <w:vAlign w:val="center"/>
          </w:tcPr>
          <w:p>
            <w:pPr>
              <w:pStyle w:val="TableContents"/>
              <w:bidi w:val="0"/>
              <w:spacing w:before="0" w:after="283"/>
              <w:jc w:val="left"/>
              <w:rPr>
                <w:b/>
                <w:sz w:val="20"/>
              </w:rPr>
            </w:pPr>
            <w:r>
              <w:rPr>
                <w:b/>
                <w:sz w:val="20"/>
              </w:rPr>
              <w:t>Changes in operating assets and liabilities</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pPr>
            <w:r>
              <w:rPr/>
              <w:t> </w:t>
            </w:r>
          </w:p>
        </w:tc>
        <w:tc>
          <w:tcPr>
            <w:tcW w:w="1192" w:type="dxa"/>
            <w:tcBorders/>
            <w:shd w:fill="FFFFFF" w:val="clear"/>
            <w:vAlign w:val="center"/>
          </w:tcPr>
          <w:p>
            <w:pPr>
              <w:pStyle w:val="TableContents"/>
              <w:bidi w:val="0"/>
              <w:spacing w:before="0" w:after="283"/>
              <w:jc w:val="right"/>
              <w:rPr/>
            </w:pPr>
            <w:r>
              <w:rPr/>
              <w:t> </w:t>
            </w:r>
          </w:p>
        </w:tc>
      </w:tr>
      <w:tr>
        <w:trPr/>
        <w:tc>
          <w:tcPr>
            <w:tcW w:w="6485" w:type="dxa"/>
            <w:tcBorders/>
            <w:shd w:fill="D5EAEA" w:val="clear"/>
            <w:vAlign w:val="center"/>
          </w:tcPr>
          <w:p>
            <w:pPr>
              <w:pStyle w:val="TableContents"/>
              <w:bidi w:val="0"/>
              <w:spacing w:before="0" w:after="283"/>
              <w:jc w:val="left"/>
              <w:rPr>
                <w:sz w:val="20"/>
              </w:rPr>
            </w:pPr>
            <w:r>
              <w:rPr>
                <w:sz w:val="20"/>
              </w:rPr>
              <w:t>Accounts receivable</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(91,696)</w:t>
            </w:r>
          </w:p>
        </w:tc>
        <w:tc>
          <w:tcPr>
            <w:tcW w:w="1192" w:type="dxa"/>
            <w:tcBorders/>
            <w:shd w:fill="D5EAEA" w:val="clear"/>
            <w:vAlign w:val="center"/>
          </w:tcPr>
          <w:p>
            <w:pPr>
              <w:pStyle w:val="TableContents"/>
              <w:bidi w:val="0"/>
              <w:spacing w:before="0" w:after="283"/>
              <w:jc w:val="right"/>
              <w:rPr>
                <w:sz w:val="20"/>
              </w:rPr>
            </w:pPr>
            <w:r>
              <w:rPr>
                <w:sz w:val="20"/>
              </w:rPr>
              <w:t>87,085</w:t>
            </w:r>
          </w:p>
        </w:tc>
      </w:tr>
      <w:tr>
        <w:trPr/>
        <w:tc>
          <w:tcPr>
            <w:tcW w:w="6485" w:type="dxa"/>
            <w:tcBorders/>
            <w:shd w:fill="FFFFFF" w:val="clear"/>
            <w:vAlign w:val="center"/>
          </w:tcPr>
          <w:p>
            <w:pPr>
              <w:pStyle w:val="TableContents"/>
              <w:bidi w:val="0"/>
              <w:spacing w:before="0" w:after="283"/>
              <w:jc w:val="left"/>
              <w:rPr>
                <w:sz w:val="20"/>
              </w:rPr>
            </w:pPr>
            <w:r>
              <w:rPr>
                <w:sz w:val="20"/>
              </w:rPr>
              <w:t>Asset-backed payable</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2,217</w:t>
            </w:r>
          </w:p>
        </w:tc>
        <w:tc>
          <w:tcPr>
            <w:tcW w:w="1192" w:type="dxa"/>
            <w:tcBorders/>
            <w:shd w:fill="FFFFFF" w:val="clear"/>
            <w:vAlign w:val="center"/>
          </w:tcPr>
          <w:p>
            <w:pPr>
              <w:pStyle w:val="TableContents"/>
              <w:bidi w:val="0"/>
              <w:spacing w:before="0" w:after="283"/>
              <w:jc w:val="right"/>
              <w:rPr>
                <w:sz w:val="20"/>
              </w:rPr>
            </w:pPr>
            <w:r>
              <w:rPr>
                <w:sz w:val="20"/>
              </w:rPr>
              <w:t>-</w:t>
            </w:r>
          </w:p>
        </w:tc>
      </w:tr>
      <w:tr>
        <w:trPr/>
        <w:tc>
          <w:tcPr>
            <w:tcW w:w="6485" w:type="dxa"/>
            <w:tcBorders/>
            <w:shd w:fill="D5EAEA" w:val="clear"/>
            <w:vAlign w:val="center"/>
          </w:tcPr>
          <w:p>
            <w:pPr>
              <w:pStyle w:val="TableContents"/>
              <w:bidi w:val="0"/>
              <w:spacing w:before="0" w:after="283"/>
              <w:jc w:val="left"/>
              <w:rPr>
                <w:sz w:val="20"/>
              </w:rPr>
            </w:pPr>
            <w:r>
              <w:rPr>
                <w:sz w:val="20"/>
              </w:rPr>
              <w:t>Projects advances</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(5,470)</w:t>
            </w:r>
          </w:p>
        </w:tc>
        <w:tc>
          <w:tcPr>
            <w:tcW w:w="1192" w:type="dxa"/>
            <w:tcBorders/>
            <w:shd w:fill="D5EAEA" w:val="clear"/>
            <w:vAlign w:val="center"/>
          </w:tcPr>
          <w:p>
            <w:pPr>
              <w:pStyle w:val="TableContents"/>
              <w:bidi w:val="0"/>
              <w:spacing w:before="0" w:after="283"/>
              <w:jc w:val="right"/>
              <w:rPr>
                <w:sz w:val="20"/>
              </w:rPr>
            </w:pPr>
            <w:r>
              <w:rPr>
                <w:sz w:val="20"/>
              </w:rPr>
              <w:t>(4,363)</w:t>
            </w:r>
          </w:p>
        </w:tc>
      </w:tr>
      <w:tr>
        <w:trPr/>
        <w:tc>
          <w:tcPr>
            <w:tcW w:w="6485" w:type="dxa"/>
            <w:tcBorders/>
            <w:shd w:fill="FFFFFF" w:val="clear"/>
            <w:vAlign w:val="center"/>
          </w:tcPr>
          <w:p>
            <w:pPr>
              <w:pStyle w:val="TableContents"/>
              <w:bidi w:val="0"/>
              <w:spacing w:before="0" w:after="283"/>
              <w:jc w:val="left"/>
              <w:rPr>
                <w:sz w:val="20"/>
              </w:rPr>
            </w:pPr>
            <w:r>
              <w:rPr>
                <w:sz w:val="20"/>
              </w:rPr>
              <w:t>Recoverable taxes</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6,160</w:t>
            </w:r>
          </w:p>
        </w:tc>
        <w:tc>
          <w:tcPr>
            <w:tcW w:w="1192" w:type="dxa"/>
            <w:tcBorders/>
            <w:shd w:fill="FFFFFF" w:val="clear"/>
            <w:vAlign w:val="center"/>
          </w:tcPr>
          <w:p>
            <w:pPr>
              <w:pStyle w:val="TableContents"/>
              <w:bidi w:val="0"/>
              <w:spacing w:before="0" w:after="283"/>
              <w:jc w:val="right"/>
              <w:rPr>
                <w:sz w:val="20"/>
              </w:rPr>
            </w:pPr>
            <w:r>
              <w:rPr>
                <w:sz w:val="20"/>
              </w:rPr>
              <w:t>(1,184)</w:t>
            </w:r>
          </w:p>
        </w:tc>
      </w:tr>
      <w:tr>
        <w:trPr/>
        <w:tc>
          <w:tcPr>
            <w:tcW w:w="6485" w:type="dxa"/>
            <w:tcBorders/>
            <w:shd w:fill="D5EAEA" w:val="clear"/>
            <w:vAlign w:val="center"/>
          </w:tcPr>
          <w:p>
            <w:pPr>
              <w:pStyle w:val="TableContents"/>
              <w:bidi w:val="0"/>
              <w:spacing w:before="0" w:after="283"/>
              <w:jc w:val="left"/>
              <w:rPr>
                <w:sz w:val="20"/>
              </w:rPr>
            </w:pPr>
            <w:r>
              <w:rPr>
                <w:sz w:val="20"/>
              </w:rPr>
              <w:t>Personnel and related taxes</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(4,902)</w:t>
            </w:r>
          </w:p>
        </w:tc>
        <w:tc>
          <w:tcPr>
            <w:tcW w:w="1192" w:type="dxa"/>
            <w:tcBorders/>
            <w:shd w:fill="D5EAEA" w:val="clear"/>
            <w:vAlign w:val="center"/>
          </w:tcPr>
          <w:p>
            <w:pPr>
              <w:pStyle w:val="TableContents"/>
              <w:bidi w:val="0"/>
              <w:spacing w:before="0" w:after="283"/>
              <w:jc w:val="right"/>
              <w:rPr>
                <w:sz w:val="20"/>
              </w:rPr>
            </w:pPr>
            <w:r>
              <w:rPr>
                <w:sz w:val="20"/>
              </w:rPr>
              <w:t>(17,112)</w:t>
            </w:r>
          </w:p>
        </w:tc>
      </w:tr>
      <w:tr>
        <w:trPr/>
        <w:tc>
          <w:tcPr>
            <w:tcW w:w="6485" w:type="dxa"/>
            <w:tcBorders/>
            <w:shd w:fill="FFFFFF" w:val="clear"/>
            <w:vAlign w:val="center"/>
          </w:tcPr>
          <w:p>
            <w:pPr>
              <w:pStyle w:val="TableContents"/>
              <w:bidi w:val="0"/>
              <w:spacing w:before="0" w:after="283"/>
              <w:jc w:val="left"/>
              <w:rPr>
                <w:sz w:val="20"/>
              </w:rPr>
            </w:pPr>
            <w:r>
              <w:rPr>
                <w:sz w:val="20"/>
              </w:rPr>
              <w:t>Carried interest allocation</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1,345</w:t>
            </w:r>
          </w:p>
        </w:tc>
        <w:tc>
          <w:tcPr>
            <w:tcW w:w="1192" w:type="dxa"/>
            <w:tcBorders/>
            <w:shd w:fill="FFFFFF" w:val="clear"/>
            <w:vAlign w:val="center"/>
          </w:tcPr>
          <w:p>
            <w:pPr>
              <w:pStyle w:val="TableContents"/>
              <w:bidi w:val="0"/>
              <w:spacing w:before="0" w:after="283"/>
              <w:jc w:val="right"/>
              <w:rPr>
                <w:sz w:val="20"/>
              </w:rPr>
            </w:pPr>
            <w:r>
              <w:rPr>
                <w:sz w:val="20"/>
              </w:rPr>
              <w:t>(1,946)</w:t>
            </w:r>
          </w:p>
        </w:tc>
      </w:tr>
      <w:tr>
        <w:trPr/>
        <w:tc>
          <w:tcPr>
            <w:tcW w:w="6485" w:type="dxa"/>
            <w:tcBorders/>
            <w:shd w:fill="D5EAEA" w:val="clear"/>
            <w:vAlign w:val="center"/>
          </w:tcPr>
          <w:p>
            <w:pPr>
              <w:pStyle w:val="TableContents"/>
              <w:bidi w:val="0"/>
              <w:spacing w:before="0" w:after="283"/>
              <w:jc w:val="left"/>
              <w:rPr>
                <w:sz w:val="20"/>
              </w:rPr>
            </w:pPr>
            <w:r>
              <w:rPr>
                <w:sz w:val="20"/>
              </w:rPr>
              <w:t>Taxes payable</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(8,734)</w:t>
            </w:r>
          </w:p>
        </w:tc>
        <w:tc>
          <w:tcPr>
            <w:tcW w:w="1192" w:type="dxa"/>
            <w:tcBorders/>
            <w:shd w:fill="D5EAEA" w:val="clear"/>
            <w:vAlign w:val="center"/>
          </w:tcPr>
          <w:p>
            <w:pPr>
              <w:pStyle w:val="TableContents"/>
              <w:bidi w:val="0"/>
              <w:spacing w:before="0" w:after="283"/>
              <w:jc w:val="right"/>
              <w:rPr>
                <w:sz w:val="20"/>
              </w:rPr>
            </w:pPr>
            <w:r>
              <w:rPr>
                <w:sz w:val="20"/>
              </w:rPr>
              <w:t>(538)</w:t>
            </w:r>
          </w:p>
        </w:tc>
      </w:tr>
      <w:tr>
        <w:trPr/>
        <w:tc>
          <w:tcPr>
            <w:tcW w:w="6485" w:type="dxa"/>
            <w:tcBorders/>
            <w:shd w:fill="FFFFFF" w:val="clear"/>
            <w:vAlign w:val="center"/>
          </w:tcPr>
          <w:p>
            <w:pPr>
              <w:pStyle w:val="TableContents"/>
              <w:bidi w:val="0"/>
              <w:spacing w:before="0" w:after="283"/>
              <w:jc w:val="left"/>
              <w:rPr>
                <w:sz w:val="20"/>
              </w:rPr>
            </w:pPr>
            <w:r>
              <w:rPr>
                <w:sz w:val="20"/>
              </w:rPr>
              <w:t>Payment of income taxes</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(8,130)</w:t>
            </w:r>
          </w:p>
        </w:tc>
        <w:tc>
          <w:tcPr>
            <w:tcW w:w="1192" w:type="dxa"/>
            <w:tcBorders/>
            <w:shd w:fill="FFFFFF" w:val="clear"/>
            <w:vAlign w:val="center"/>
          </w:tcPr>
          <w:p>
            <w:pPr>
              <w:pStyle w:val="TableContents"/>
              <w:bidi w:val="0"/>
              <w:spacing w:before="0" w:after="283"/>
              <w:jc w:val="right"/>
              <w:rPr>
                <w:sz w:val="20"/>
              </w:rPr>
            </w:pPr>
            <w:r>
              <w:rPr>
                <w:sz w:val="20"/>
              </w:rPr>
              <w:t>(8,273)</w:t>
            </w:r>
          </w:p>
        </w:tc>
      </w:tr>
      <w:tr>
        <w:trPr/>
        <w:tc>
          <w:tcPr>
            <w:tcW w:w="6485" w:type="dxa"/>
            <w:tcBorders/>
            <w:shd w:fill="D5EAEA" w:val="clear"/>
            <w:vAlign w:val="center"/>
          </w:tcPr>
          <w:p>
            <w:pPr>
              <w:pStyle w:val="TableContents"/>
              <w:bidi w:val="0"/>
              <w:spacing w:before="0" w:after="283"/>
              <w:jc w:val="left"/>
              <w:rPr>
                <w:sz w:val="20"/>
              </w:rPr>
            </w:pPr>
            <w:r>
              <w:rPr>
                <w:sz w:val="20"/>
              </w:rPr>
              <w:t>Energy trading contracts</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12,388</w:t>
            </w:r>
          </w:p>
        </w:tc>
        <w:tc>
          <w:tcPr>
            <w:tcW w:w="1192" w:type="dxa"/>
            <w:tcBorders/>
            <w:shd w:fill="D5EAEA" w:val="clear"/>
            <w:vAlign w:val="center"/>
          </w:tcPr>
          <w:p>
            <w:pPr>
              <w:pStyle w:val="TableContents"/>
              <w:bidi w:val="0"/>
              <w:spacing w:before="0" w:after="283"/>
              <w:jc w:val="right"/>
              <w:rPr>
                <w:sz w:val="20"/>
              </w:rPr>
            </w:pPr>
            <w:r>
              <w:rPr>
                <w:sz w:val="20"/>
              </w:rPr>
              <w:t>(4,199)</w:t>
            </w:r>
          </w:p>
        </w:tc>
      </w:tr>
      <w:tr>
        <w:trPr/>
        <w:tc>
          <w:tcPr>
            <w:tcW w:w="6485" w:type="dxa"/>
            <w:tcBorders/>
            <w:shd w:fill="FFFFFF" w:val="clear"/>
            <w:vAlign w:val="center"/>
          </w:tcPr>
          <w:p>
            <w:pPr>
              <w:pStyle w:val="TableContents"/>
              <w:bidi w:val="0"/>
              <w:spacing w:before="0" w:after="283"/>
              <w:jc w:val="left"/>
              <w:rPr>
                <w:sz w:val="20"/>
              </w:rPr>
            </w:pPr>
            <w:r>
              <w:rPr>
                <w:sz w:val="20"/>
              </w:rPr>
              <w:t>Deferred consideration paid</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pPr>
            <w:r>
              <w:rPr/>
              <w:t> </w:t>
            </w:r>
          </w:p>
        </w:tc>
        <w:tc>
          <w:tcPr>
            <w:tcW w:w="1192" w:type="dxa"/>
            <w:tcBorders/>
            <w:shd w:fill="FFFFFF" w:val="clear"/>
            <w:vAlign w:val="center"/>
          </w:tcPr>
          <w:p>
            <w:pPr>
              <w:pStyle w:val="TableContents"/>
              <w:bidi w:val="0"/>
              <w:spacing w:before="0" w:after="283"/>
              <w:jc w:val="right"/>
              <w:rPr>
                <w:sz w:val="20"/>
              </w:rPr>
            </w:pPr>
            <w:r>
              <w:rPr>
                <w:sz w:val="20"/>
              </w:rPr>
              <w:t>(3,146)</w:t>
            </w:r>
          </w:p>
        </w:tc>
      </w:tr>
      <w:tr>
        <w:trPr/>
        <w:tc>
          <w:tcPr>
            <w:tcW w:w="6485" w:type="dxa"/>
            <w:tcBorders/>
            <w:shd w:fill="D5EAEA" w:val="clear"/>
            <w:vAlign w:val="center"/>
          </w:tcPr>
          <w:p>
            <w:pPr>
              <w:pStyle w:val="TableContents"/>
              <w:bidi w:val="0"/>
              <w:spacing w:before="0" w:after="283"/>
              <w:jc w:val="left"/>
              <w:rPr>
                <w:sz w:val="20"/>
              </w:rPr>
            </w:pPr>
            <w:r>
              <w:rPr>
                <w:sz w:val="20"/>
              </w:rPr>
              <w:t>Other assets and liabilities</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100,424</w:t>
            </w:r>
          </w:p>
        </w:tc>
        <w:tc>
          <w:tcPr>
            <w:tcW w:w="1192" w:type="dxa"/>
            <w:tcBorders/>
            <w:shd w:fill="D5EAEA" w:val="clear"/>
            <w:vAlign w:val="center"/>
          </w:tcPr>
          <w:p>
            <w:pPr>
              <w:pStyle w:val="TableContents"/>
              <w:bidi w:val="0"/>
              <w:spacing w:before="0" w:after="283"/>
              <w:jc w:val="right"/>
              <w:rPr>
                <w:sz w:val="20"/>
              </w:rPr>
            </w:pPr>
            <w:r>
              <w:rPr>
                <w:sz w:val="20"/>
              </w:rPr>
              <w:t>50,791</w:t>
            </w:r>
          </w:p>
        </w:tc>
      </w:tr>
      <w:tr>
        <w:trPr/>
        <w:tc>
          <w:tcPr>
            <w:tcW w:w="6485" w:type="dxa"/>
            <w:tcBorders/>
            <w:shd w:fill="FFFFFF" w:val="clear"/>
            <w:vAlign w:val="center"/>
          </w:tcPr>
          <w:p>
            <w:pPr>
              <w:pStyle w:val="TableContents"/>
              <w:bidi w:val="0"/>
              <w:spacing w:before="0" w:after="283"/>
              <w:jc w:val="left"/>
              <w:rPr>
                <w:sz w:val="20"/>
              </w:rPr>
            </w:pPr>
            <w:r>
              <w:rPr>
                <w:sz w:val="20"/>
              </w:rPr>
              <w:t>Payment of placement agent fees</w:t>
            </w:r>
          </w:p>
        </w:tc>
        <w:tc>
          <w:tcPr>
            <w:tcW w:w="680" w:type="dxa"/>
            <w:tcBorders/>
            <w:shd w:fill="FFFFFF" w:val="clear"/>
            <w:vAlign w:val="center"/>
          </w:tcPr>
          <w:p>
            <w:pPr>
              <w:pStyle w:val="TableContents"/>
              <w:bidi w:val="0"/>
              <w:spacing w:before="0" w:after="283"/>
              <w:jc w:val="center"/>
              <w:rPr>
                <w:sz w:val="20"/>
              </w:rPr>
            </w:pPr>
            <w:r>
              <w:rPr>
                <w:sz w:val="20"/>
              </w:rPr>
              <w:t>14</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(8,290)</w:t>
            </w:r>
          </w:p>
        </w:tc>
        <w:tc>
          <w:tcPr>
            <w:tcW w:w="119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(2,017)</w:t>
            </w:r>
          </w:p>
        </w:tc>
      </w:tr>
      <w:tr>
        <w:trPr/>
        <w:tc>
          <w:tcPr>
            <w:tcW w:w="6485" w:type="dxa"/>
            <w:tcBorders/>
            <w:shd w:fill="D5EAEA" w:val="clear"/>
            <w:vAlign w:val="center"/>
          </w:tcPr>
          <w:p>
            <w:pPr>
              <w:pStyle w:val="TableContents"/>
              <w:bidi w:val="0"/>
              <w:spacing w:before="0" w:after="283"/>
              <w:jc w:val="left"/>
              <w:rPr>
                <w:b/>
                <w:sz w:val="20"/>
              </w:rPr>
            </w:pPr>
            <w:r>
              <w:rPr>
                <w:b/>
                <w:sz w:val="20"/>
              </w:rPr>
              <w:t>Net cash provided by operating activities</w:t>
            </w:r>
          </w:p>
        </w:tc>
        <w:tc>
          <w:tcPr>
            <w:tcW w:w="680" w:type="dxa"/>
            <w:tcBorders/>
            <w:shd w:fill="D5EAEA" w:val="clear"/>
            <w:vAlign w:val="center"/>
          </w:tcPr>
          <w:p>
            <w:pPr>
              <w:pStyle w:val="TableContents"/>
              <w:bidi w:val="0"/>
              <w:spacing w:before="0" w:after="283"/>
              <w:jc w:val="center"/>
              <w:rPr/>
            </w:pPr>
            <w:r>
              <w:rPr/>
              <w:t> </w:t>
            </w:r>
          </w:p>
        </w:tc>
        <w:tc>
          <w:tcPr>
            <w:tcW w:w="1602"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71,679</w:t>
            </w:r>
          </w:p>
        </w:tc>
        <w:tc>
          <w:tcPr>
            <w:tcW w:w="1192"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175,513</w:t>
            </w:r>
          </w:p>
        </w:tc>
      </w:tr>
      <w:tr>
        <w:trPr/>
        <w:tc>
          <w:tcPr>
            <w:tcW w:w="648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pPr>
            <w:r>
              <w:rPr/>
              <w:t> </w:t>
            </w:r>
          </w:p>
        </w:tc>
        <w:tc>
          <w:tcPr>
            <w:tcW w:w="1192" w:type="dxa"/>
            <w:tcBorders/>
            <w:shd w:fill="FFFFFF" w:val="clear"/>
            <w:vAlign w:val="center"/>
          </w:tcPr>
          <w:p>
            <w:pPr>
              <w:pStyle w:val="TableContents"/>
              <w:bidi w:val="0"/>
              <w:spacing w:before="0" w:after="283"/>
              <w:jc w:val="right"/>
              <w:rPr/>
            </w:pPr>
            <w:r>
              <w:rPr/>
              <w:t> </w:t>
            </w:r>
          </w:p>
        </w:tc>
      </w:tr>
      <w:tr>
        <w:trPr/>
        <w:tc>
          <w:tcPr>
            <w:tcW w:w="6485" w:type="dxa"/>
            <w:tcBorders/>
            <w:shd w:fill="D5EAEA" w:val="clear"/>
            <w:vAlign w:val="center"/>
          </w:tcPr>
          <w:p>
            <w:pPr>
              <w:pStyle w:val="TableContents"/>
              <w:bidi w:val="0"/>
              <w:spacing w:before="0" w:after="283"/>
              <w:jc w:val="left"/>
              <w:rPr>
                <w:b/>
                <w:sz w:val="20"/>
              </w:rPr>
            </w:pPr>
            <w:r>
              <w:rPr>
                <w:b/>
                <w:sz w:val="20"/>
              </w:rPr>
              <w:t>Cash flows from investing activities</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pPr>
            <w:r>
              <w:rPr/>
              <w:t> </w:t>
            </w:r>
          </w:p>
        </w:tc>
        <w:tc>
          <w:tcPr>
            <w:tcW w:w="1192" w:type="dxa"/>
            <w:tcBorders/>
            <w:shd w:fill="D5EAEA" w:val="clear"/>
            <w:vAlign w:val="center"/>
          </w:tcPr>
          <w:p>
            <w:pPr>
              <w:pStyle w:val="TableContents"/>
              <w:bidi w:val="0"/>
              <w:spacing w:before="0" w:after="283"/>
              <w:jc w:val="right"/>
              <w:rPr/>
            </w:pPr>
            <w:r>
              <w:rPr/>
              <w:t> </w:t>
            </w:r>
          </w:p>
        </w:tc>
      </w:tr>
      <w:tr>
        <w:trPr/>
        <w:tc>
          <w:tcPr>
            <w:tcW w:w="6485" w:type="dxa"/>
            <w:tcBorders/>
            <w:shd w:fill="FFFFFF" w:val="clear"/>
            <w:vAlign w:val="center"/>
          </w:tcPr>
          <w:p>
            <w:pPr>
              <w:pStyle w:val="TableContents"/>
              <w:bidi w:val="0"/>
              <w:spacing w:before="0" w:after="283"/>
              <w:jc w:val="left"/>
              <w:rPr>
                <w:sz w:val="20"/>
              </w:rPr>
            </w:pPr>
            <w:r>
              <w:rPr>
                <w:sz w:val="20"/>
              </w:rPr>
              <w:t>Decrease (increase) in short term investments</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(17,821)</w:t>
            </w:r>
          </w:p>
        </w:tc>
        <w:tc>
          <w:tcPr>
            <w:tcW w:w="1192" w:type="dxa"/>
            <w:tcBorders/>
            <w:shd w:fill="FFFFFF" w:val="clear"/>
            <w:vAlign w:val="center"/>
          </w:tcPr>
          <w:p>
            <w:pPr>
              <w:pStyle w:val="TableContents"/>
              <w:bidi w:val="0"/>
              <w:spacing w:before="0" w:after="283"/>
              <w:jc w:val="right"/>
              <w:rPr>
                <w:sz w:val="20"/>
              </w:rPr>
            </w:pPr>
            <w:r>
              <w:rPr>
                <w:sz w:val="20"/>
              </w:rPr>
              <w:t>(18,842)</w:t>
            </w:r>
          </w:p>
        </w:tc>
      </w:tr>
      <w:tr>
        <w:trPr/>
        <w:tc>
          <w:tcPr>
            <w:tcW w:w="6485" w:type="dxa"/>
            <w:tcBorders/>
            <w:shd w:fill="D5EAEA" w:val="clear"/>
            <w:vAlign w:val="center"/>
          </w:tcPr>
          <w:p>
            <w:pPr>
              <w:pStyle w:val="TableContents"/>
              <w:bidi w:val="0"/>
              <w:spacing w:before="0" w:after="283"/>
              <w:jc w:val="left"/>
              <w:rPr>
                <w:sz w:val="20"/>
              </w:rPr>
            </w:pPr>
            <w:r>
              <w:rPr>
                <w:sz w:val="20"/>
              </w:rPr>
              <w:t>Decrease (increase) in long-term investments</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(5,733)</w:t>
            </w:r>
          </w:p>
        </w:tc>
        <w:tc>
          <w:tcPr>
            <w:tcW w:w="1192" w:type="dxa"/>
            <w:tcBorders/>
            <w:shd w:fill="D5EAEA" w:val="clear"/>
            <w:vAlign w:val="center"/>
          </w:tcPr>
          <w:p>
            <w:pPr>
              <w:pStyle w:val="TableContents"/>
              <w:bidi w:val="0"/>
              <w:spacing w:before="0" w:after="283"/>
              <w:jc w:val="right"/>
              <w:rPr>
                <w:sz w:val="20"/>
              </w:rPr>
            </w:pPr>
            <w:r>
              <w:rPr>
                <w:sz w:val="20"/>
              </w:rPr>
              <w:t>(13,447)</w:t>
            </w:r>
          </w:p>
        </w:tc>
      </w:tr>
      <w:tr>
        <w:trPr/>
        <w:tc>
          <w:tcPr>
            <w:tcW w:w="6485" w:type="dxa"/>
            <w:tcBorders/>
            <w:shd w:fill="FFFFFF" w:val="clear"/>
            <w:vAlign w:val="center"/>
          </w:tcPr>
          <w:p>
            <w:pPr>
              <w:pStyle w:val="TableContents"/>
              <w:bidi w:val="0"/>
              <w:spacing w:before="0" w:after="283"/>
              <w:jc w:val="left"/>
              <w:rPr>
                <w:sz w:val="20"/>
              </w:rPr>
            </w:pPr>
            <w:r>
              <w:rPr>
                <w:sz w:val="20"/>
              </w:rPr>
              <w:t>Deposit into SPAC trust account</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w:t>
            </w:r>
          </w:p>
        </w:tc>
        <w:tc>
          <w:tcPr>
            <w:tcW w:w="1192" w:type="dxa"/>
            <w:tcBorders/>
            <w:shd w:fill="FFFFFF" w:val="clear"/>
            <w:vAlign w:val="center"/>
          </w:tcPr>
          <w:p>
            <w:pPr>
              <w:pStyle w:val="TableContents"/>
              <w:bidi w:val="0"/>
              <w:spacing w:before="0" w:after="283"/>
              <w:jc w:val="right"/>
              <w:rPr>
                <w:sz w:val="20"/>
              </w:rPr>
            </w:pPr>
            <w:r>
              <w:rPr>
                <w:sz w:val="20"/>
              </w:rPr>
              <w:t>(409)</w:t>
            </w:r>
          </w:p>
        </w:tc>
      </w:tr>
      <w:tr>
        <w:trPr/>
        <w:tc>
          <w:tcPr>
            <w:tcW w:w="6485" w:type="dxa"/>
            <w:tcBorders/>
            <w:shd w:fill="D5EAEA" w:val="clear"/>
            <w:vAlign w:val="center"/>
          </w:tcPr>
          <w:p>
            <w:pPr>
              <w:pStyle w:val="TableContents"/>
              <w:bidi w:val="0"/>
              <w:spacing w:before="0" w:after="283"/>
              <w:jc w:val="left"/>
              <w:rPr>
                <w:sz w:val="20"/>
              </w:rPr>
            </w:pPr>
            <w:r>
              <w:rPr>
                <w:sz w:val="20"/>
              </w:rPr>
              <w:t>Acquisition of property and equipment</w:t>
            </w:r>
          </w:p>
        </w:tc>
        <w:tc>
          <w:tcPr>
            <w:tcW w:w="680" w:type="dxa"/>
            <w:tcBorders/>
            <w:shd w:fill="D5EAEA" w:val="clear"/>
            <w:vAlign w:val="center"/>
          </w:tcPr>
          <w:p>
            <w:pPr>
              <w:pStyle w:val="TableContents"/>
              <w:bidi w:val="0"/>
              <w:spacing w:before="0" w:after="283"/>
              <w:jc w:val="left"/>
              <w:rPr/>
            </w:pPr>
            <w:r>
              <w:rPr/>
              <w:t> </w:t>
            </w:r>
          </w:p>
        </w:tc>
        <w:tc>
          <w:tcPr>
            <w:tcW w:w="1602" w:type="dxa"/>
            <w:tcBorders/>
            <w:shd w:fill="D5EAEA" w:val="clear"/>
            <w:vAlign w:val="center"/>
          </w:tcPr>
          <w:p>
            <w:pPr>
              <w:pStyle w:val="TableContents"/>
              <w:bidi w:val="0"/>
              <w:spacing w:before="0" w:after="283"/>
              <w:jc w:val="right"/>
              <w:rPr>
                <w:sz w:val="20"/>
              </w:rPr>
            </w:pPr>
            <w:r>
              <w:rPr>
                <w:sz w:val="20"/>
              </w:rPr>
              <w:t>(1,939)</w:t>
            </w:r>
          </w:p>
        </w:tc>
        <w:tc>
          <w:tcPr>
            <w:tcW w:w="1192" w:type="dxa"/>
            <w:tcBorders/>
            <w:shd w:fill="D5EAEA" w:val="clear"/>
            <w:vAlign w:val="center"/>
          </w:tcPr>
          <w:p>
            <w:pPr>
              <w:pStyle w:val="TableContents"/>
              <w:bidi w:val="0"/>
              <w:spacing w:before="0" w:after="283"/>
              <w:jc w:val="right"/>
              <w:rPr>
                <w:sz w:val="20"/>
              </w:rPr>
            </w:pPr>
            <w:r>
              <w:rPr>
                <w:sz w:val="20"/>
              </w:rPr>
              <w:t>(4,632)</w:t>
            </w:r>
          </w:p>
        </w:tc>
      </w:tr>
      <w:tr>
        <w:trPr/>
        <w:tc>
          <w:tcPr>
            <w:tcW w:w="6485" w:type="dxa"/>
            <w:tcBorders/>
            <w:shd w:fill="FFFFFF" w:val="clear"/>
            <w:vAlign w:val="center"/>
          </w:tcPr>
          <w:p>
            <w:pPr>
              <w:pStyle w:val="TableContents"/>
              <w:bidi w:val="0"/>
              <w:spacing w:before="0" w:after="283"/>
              <w:jc w:val="left"/>
              <w:rPr>
                <w:sz w:val="20"/>
              </w:rPr>
            </w:pPr>
            <w:r>
              <w:rPr>
                <w:sz w:val="20"/>
              </w:rPr>
              <w:t>Acquisition of software and computer programs</w:t>
            </w:r>
          </w:p>
        </w:tc>
        <w:tc>
          <w:tcPr>
            <w:tcW w:w="680" w:type="dxa"/>
            <w:tcBorders/>
            <w:shd w:fill="FFFFFF" w:val="clear"/>
            <w:vAlign w:val="center"/>
          </w:tcPr>
          <w:p>
            <w:pPr>
              <w:pStyle w:val="TableContents"/>
              <w:bidi w:val="0"/>
              <w:spacing w:before="0" w:after="283"/>
              <w:jc w:val="center"/>
              <w:rPr>
                <w:sz w:val="20"/>
              </w:rPr>
            </w:pPr>
            <w:r>
              <w:rPr>
                <w:sz w:val="20"/>
              </w:rPr>
              <w:t>14</w:t>
            </w:r>
          </w:p>
        </w:tc>
        <w:tc>
          <w:tcPr>
            <w:tcW w:w="1602" w:type="dxa"/>
            <w:tcBorders/>
            <w:shd w:fill="FFFFFF" w:val="clear"/>
            <w:vAlign w:val="center"/>
          </w:tcPr>
          <w:p>
            <w:pPr>
              <w:pStyle w:val="TableContents"/>
              <w:bidi w:val="0"/>
              <w:spacing w:before="0" w:after="283"/>
              <w:jc w:val="right"/>
              <w:rPr>
                <w:sz w:val="20"/>
              </w:rPr>
            </w:pPr>
            <w:r>
              <w:rPr>
                <w:sz w:val="20"/>
              </w:rPr>
              <w:t>(406)</w:t>
            </w:r>
          </w:p>
        </w:tc>
        <w:tc>
          <w:tcPr>
            <w:tcW w:w="1192" w:type="dxa"/>
            <w:tcBorders/>
            <w:shd w:fill="FFFFFF" w:val="clear"/>
            <w:vAlign w:val="center"/>
          </w:tcPr>
          <w:p>
            <w:pPr>
              <w:pStyle w:val="TableContents"/>
              <w:bidi w:val="0"/>
              <w:spacing w:before="0" w:after="283"/>
              <w:jc w:val="right"/>
              <w:rPr>
                <w:sz w:val="20"/>
              </w:rPr>
            </w:pPr>
            <w:r>
              <w:rPr>
                <w:sz w:val="20"/>
              </w:rPr>
              <w:t>(1,599)</w:t>
            </w:r>
          </w:p>
        </w:tc>
      </w:tr>
      <w:tr>
        <w:trPr/>
        <w:tc>
          <w:tcPr>
            <w:tcW w:w="6485" w:type="dxa"/>
            <w:tcBorders/>
            <w:shd w:fill="D5EAEA" w:val="clear"/>
            <w:vAlign w:val="center"/>
          </w:tcPr>
          <w:p>
            <w:pPr>
              <w:pStyle w:val="TableContents"/>
              <w:bidi w:val="0"/>
              <w:spacing w:before="0" w:after="283"/>
              <w:jc w:val="left"/>
              <w:rPr>
                <w:sz w:val="20"/>
              </w:rPr>
            </w:pPr>
            <w:r>
              <w:rPr>
                <w:sz w:val="20"/>
              </w:rPr>
              <w:t>Acquisition of contractual rights</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(74)</w:t>
            </w:r>
          </w:p>
        </w:tc>
        <w:tc>
          <w:tcPr>
            <w:tcW w:w="1192" w:type="dxa"/>
            <w:tcBorders/>
            <w:shd w:fill="D5EAEA" w:val="clear"/>
            <w:vAlign w:val="center"/>
          </w:tcPr>
          <w:p>
            <w:pPr>
              <w:pStyle w:val="TableContents"/>
              <w:bidi w:val="0"/>
              <w:spacing w:before="0" w:after="283"/>
              <w:jc w:val="right"/>
              <w:rPr>
                <w:sz w:val="20"/>
              </w:rPr>
            </w:pPr>
            <w:r>
              <w:rPr>
                <w:sz w:val="20"/>
              </w:rPr>
              <w:t>-</w:t>
            </w:r>
          </w:p>
        </w:tc>
      </w:tr>
      <w:tr>
        <w:trPr/>
        <w:tc>
          <w:tcPr>
            <w:tcW w:w="6485" w:type="dxa"/>
            <w:tcBorders/>
            <w:shd w:fill="FFFFFF" w:val="clear"/>
            <w:vAlign w:val="center"/>
          </w:tcPr>
          <w:p>
            <w:pPr>
              <w:pStyle w:val="TableContents"/>
              <w:bidi w:val="0"/>
              <w:spacing w:before="0" w:after="283"/>
              <w:jc w:val="left"/>
              <w:rPr>
                <w:sz w:val="20"/>
              </w:rPr>
            </w:pPr>
            <w:r>
              <w:rPr>
                <w:sz w:val="20"/>
              </w:rPr>
              <w:t>Acquisition of subsidiaries, net of cash acquired</w:t>
            </w:r>
          </w:p>
        </w:tc>
        <w:tc>
          <w:tcPr>
            <w:tcW w:w="680" w:type="dxa"/>
            <w:tcBorders/>
            <w:shd w:fill="FFFFFF" w:val="clear"/>
            <w:vAlign w:val="center"/>
          </w:tcPr>
          <w:p>
            <w:pPr>
              <w:pStyle w:val="TableContents"/>
              <w:bidi w:val="0"/>
              <w:spacing w:before="0" w:after="283"/>
              <w:jc w:val="center"/>
              <w:rPr>
                <w:sz w:val="20"/>
              </w:rPr>
            </w:pPr>
            <w:r>
              <w:rPr>
                <w:sz w:val="20"/>
              </w:rPr>
              <w:t>30</w:t>
            </w:r>
          </w:p>
        </w:tc>
        <w:tc>
          <w:tcPr>
            <w:tcW w:w="1602" w:type="dxa"/>
            <w:tcBorders/>
            <w:shd w:fill="FFFFFF" w:val="clear"/>
            <w:vAlign w:val="center"/>
          </w:tcPr>
          <w:p>
            <w:pPr>
              <w:pStyle w:val="TableContents"/>
              <w:bidi w:val="0"/>
              <w:spacing w:before="0" w:after="283"/>
              <w:jc w:val="right"/>
              <w:rPr>
                <w:sz w:val="20"/>
              </w:rPr>
            </w:pPr>
            <w:r>
              <w:rPr>
                <w:sz w:val="20"/>
              </w:rPr>
              <w:t>(68,287)</w:t>
            </w:r>
          </w:p>
        </w:tc>
        <w:tc>
          <w:tcPr>
            <w:tcW w:w="1192" w:type="dxa"/>
            <w:tcBorders/>
            <w:shd w:fill="FFFFFF" w:val="clear"/>
            <w:vAlign w:val="center"/>
          </w:tcPr>
          <w:p>
            <w:pPr>
              <w:pStyle w:val="TableContents"/>
              <w:bidi w:val="0"/>
              <w:spacing w:before="0" w:after="283"/>
              <w:jc w:val="right"/>
              <w:rPr>
                <w:sz w:val="20"/>
              </w:rPr>
            </w:pPr>
            <w:r>
              <w:rPr>
                <w:sz w:val="20"/>
              </w:rPr>
              <w:t>(1,078)</w:t>
            </w:r>
          </w:p>
        </w:tc>
      </w:tr>
      <w:tr>
        <w:trPr/>
        <w:tc>
          <w:tcPr>
            <w:tcW w:w="6485" w:type="dxa"/>
            <w:tcBorders/>
            <w:shd w:fill="D5EAEA" w:val="clear"/>
            <w:vAlign w:val="center"/>
          </w:tcPr>
          <w:p>
            <w:pPr>
              <w:pStyle w:val="TableContents"/>
              <w:bidi w:val="0"/>
              <w:spacing w:before="0" w:after="283"/>
              <w:jc w:val="left"/>
              <w:rPr/>
            </w:pPr>
            <w:r>
              <w:rPr/>
              <w:t> </w:t>
            </w:r>
          </w:p>
        </w:tc>
        <w:tc>
          <w:tcPr>
            <w:tcW w:w="680" w:type="dxa"/>
            <w:tcBorders/>
            <w:shd w:fill="D5EAEA" w:val="clear"/>
            <w:vAlign w:val="center"/>
          </w:tcPr>
          <w:p>
            <w:pPr>
              <w:pStyle w:val="TableContents"/>
              <w:bidi w:val="0"/>
              <w:spacing w:before="0" w:after="283"/>
              <w:jc w:val="center"/>
              <w:rPr/>
            </w:pPr>
            <w:r>
              <w:rPr/>
              <w:t> </w:t>
            </w:r>
          </w:p>
        </w:tc>
        <w:tc>
          <w:tcPr>
            <w:tcW w:w="1602"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1192"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r>
      <w:tr>
        <w:trPr/>
        <w:tc>
          <w:tcPr>
            <w:tcW w:w="6485" w:type="dxa"/>
            <w:tcBorders/>
            <w:shd w:fill="FFFFFF" w:val="clear"/>
            <w:vAlign w:val="center"/>
          </w:tcPr>
          <w:p>
            <w:pPr>
              <w:pStyle w:val="TableContents"/>
              <w:bidi w:val="0"/>
              <w:spacing w:before="0" w:after="283"/>
              <w:jc w:val="left"/>
              <w:rPr>
                <w:b/>
                <w:sz w:val="20"/>
              </w:rPr>
            </w:pPr>
            <w:r>
              <w:rPr>
                <w:b/>
                <w:sz w:val="20"/>
              </w:rPr>
              <w:t>Net cash used by investing activities</w:t>
            </w:r>
          </w:p>
        </w:tc>
        <w:tc>
          <w:tcPr>
            <w:tcW w:w="680" w:type="dxa"/>
            <w:tcBorders/>
            <w:shd w:fill="FFFFFF" w:val="clear"/>
            <w:vAlign w:val="center"/>
          </w:tcPr>
          <w:p>
            <w:pPr>
              <w:pStyle w:val="TableContents"/>
              <w:bidi w:val="0"/>
              <w:spacing w:before="0" w:after="283"/>
              <w:jc w:val="center"/>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(94,260)</w:t>
            </w:r>
          </w:p>
        </w:tc>
        <w:tc>
          <w:tcPr>
            <w:tcW w:w="119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(40,007)</w:t>
            </w:r>
          </w:p>
        </w:tc>
      </w:tr>
      <w:tr>
        <w:trPr/>
        <w:tc>
          <w:tcPr>
            <w:tcW w:w="6485" w:type="dxa"/>
            <w:tcBorders/>
            <w:shd w:fill="D5EAEA" w:val="clear"/>
            <w:vAlign w:val="center"/>
          </w:tcPr>
          <w:p>
            <w:pPr>
              <w:pStyle w:val="TableContents"/>
              <w:bidi w:val="0"/>
              <w:spacing w:before="0" w:after="283"/>
              <w:jc w:val="left"/>
              <w:rPr/>
            </w:pPr>
            <w:r>
              <w:rPr/>
              <w:t> </w:t>
            </w:r>
          </w:p>
        </w:tc>
        <w:tc>
          <w:tcPr>
            <w:tcW w:w="680" w:type="dxa"/>
            <w:tcBorders/>
            <w:shd w:fill="D5EAEA" w:val="clear"/>
            <w:vAlign w:val="center"/>
          </w:tcPr>
          <w:p>
            <w:pPr>
              <w:pStyle w:val="TableContents"/>
              <w:bidi w:val="0"/>
              <w:spacing w:before="0" w:after="283"/>
              <w:jc w:val="left"/>
              <w:rPr/>
            </w:pPr>
            <w:r>
              <w:rPr/>
              <w:t> </w:t>
            </w:r>
          </w:p>
        </w:tc>
        <w:tc>
          <w:tcPr>
            <w:tcW w:w="1602" w:type="dxa"/>
            <w:tcBorders/>
            <w:shd w:fill="D5EAEA" w:val="clear"/>
            <w:vAlign w:val="center"/>
          </w:tcPr>
          <w:p>
            <w:pPr>
              <w:pStyle w:val="TableContents"/>
              <w:bidi w:val="0"/>
              <w:spacing w:before="0" w:after="283"/>
              <w:jc w:val="left"/>
              <w:rPr/>
            </w:pPr>
            <w:r>
              <w:rPr/>
              <w:t> </w:t>
            </w:r>
          </w:p>
        </w:tc>
        <w:tc>
          <w:tcPr>
            <w:tcW w:w="1192" w:type="dxa"/>
            <w:tcBorders/>
            <w:shd w:fill="D5EAEA"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b/>
                <w:sz w:val="20"/>
              </w:rPr>
            </w:pPr>
            <w:r>
              <w:rPr>
                <w:b/>
                <w:sz w:val="20"/>
              </w:rPr>
              <w:t>Cash flows from financing activities</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pPr>
            <w:r>
              <w:rPr/>
              <w:t> </w:t>
            </w:r>
          </w:p>
        </w:tc>
        <w:tc>
          <w:tcPr>
            <w:tcW w:w="1192" w:type="dxa"/>
            <w:tcBorders/>
            <w:shd w:fill="FFFFFF" w:val="clear"/>
            <w:vAlign w:val="center"/>
          </w:tcPr>
          <w:p>
            <w:pPr>
              <w:pStyle w:val="TableContents"/>
              <w:bidi w:val="0"/>
              <w:spacing w:before="0" w:after="283"/>
              <w:jc w:val="right"/>
              <w:rPr/>
            </w:pPr>
            <w:r>
              <w:rPr/>
              <w:t> </w:t>
            </w:r>
          </w:p>
        </w:tc>
      </w:tr>
      <w:tr>
        <w:trPr/>
        <w:tc>
          <w:tcPr>
            <w:tcW w:w="6485" w:type="dxa"/>
            <w:tcBorders/>
            <w:shd w:fill="D5EAEA" w:val="clear"/>
            <w:vAlign w:val="center"/>
          </w:tcPr>
          <w:p>
            <w:pPr>
              <w:pStyle w:val="TableContents"/>
              <w:bidi w:val="0"/>
              <w:spacing w:before="0" w:after="283"/>
              <w:jc w:val="left"/>
              <w:rPr>
                <w:sz w:val="20"/>
              </w:rPr>
            </w:pPr>
            <w:r>
              <w:rPr>
                <w:sz w:val="20"/>
              </w:rPr>
              <w:t>Proceeds from loans</w:t>
            </w:r>
          </w:p>
        </w:tc>
        <w:tc>
          <w:tcPr>
            <w:tcW w:w="680" w:type="dxa"/>
            <w:tcBorders/>
            <w:shd w:fill="D5EAEA" w:val="clear"/>
            <w:vAlign w:val="center"/>
          </w:tcPr>
          <w:p>
            <w:pPr>
              <w:pStyle w:val="TableContents"/>
              <w:bidi w:val="0"/>
              <w:spacing w:before="0" w:after="283"/>
              <w:jc w:val="center"/>
              <w:rPr>
                <w:sz w:val="20"/>
              </w:rPr>
            </w:pPr>
            <w:r>
              <w:rPr>
                <w:sz w:val="20"/>
              </w:rPr>
              <w:t>16</w:t>
            </w:r>
          </w:p>
        </w:tc>
        <w:tc>
          <w:tcPr>
            <w:tcW w:w="1602" w:type="dxa"/>
            <w:tcBorders/>
            <w:shd w:fill="D5EAEA" w:val="clear"/>
            <w:vAlign w:val="center"/>
          </w:tcPr>
          <w:p>
            <w:pPr>
              <w:pStyle w:val="TableContents"/>
              <w:bidi w:val="0"/>
              <w:spacing w:before="0" w:after="283"/>
              <w:jc w:val="right"/>
              <w:rPr>
                <w:sz w:val="20"/>
              </w:rPr>
            </w:pPr>
            <w:r>
              <w:rPr>
                <w:sz w:val="20"/>
              </w:rPr>
              <w:t>581,800</w:t>
            </w:r>
          </w:p>
        </w:tc>
        <w:tc>
          <w:tcPr>
            <w:tcW w:w="1192" w:type="dxa"/>
            <w:tcBorders/>
            <w:shd w:fill="D5EAEA" w:val="clear"/>
            <w:vAlign w:val="center"/>
          </w:tcPr>
          <w:p>
            <w:pPr>
              <w:pStyle w:val="TableContents"/>
              <w:bidi w:val="0"/>
              <w:spacing w:before="0" w:after="283"/>
              <w:jc w:val="right"/>
              <w:rPr>
                <w:sz w:val="20"/>
              </w:rPr>
            </w:pPr>
            <w:r>
              <w:rPr>
                <w:sz w:val="20"/>
              </w:rPr>
              <w:t>176,396</w:t>
            </w:r>
          </w:p>
        </w:tc>
      </w:tr>
      <w:tr>
        <w:trPr/>
        <w:tc>
          <w:tcPr>
            <w:tcW w:w="6485" w:type="dxa"/>
            <w:tcBorders/>
            <w:shd w:fill="FFFFFF" w:val="clear"/>
            <w:vAlign w:val="center"/>
          </w:tcPr>
          <w:p>
            <w:pPr>
              <w:pStyle w:val="TableContents"/>
              <w:bidi w:val="0"/>
              <w:spacing w:before="0" w:after="283"/>
              <w:jc w:val="left"/>
              <w:rPr>
                <w:sz w:val="20"/>
              </w:rPr>
            </w:pPr>
            <w:r>
              <w:rPr>
                <w:sz w:val="20"/>
              </w:rPr>
              <w:t>Repayment of loans</w:t>
            </w:r>
          </w:p>
        </w:tc>
        <w:tc>
          <w:tcPr>
            <w:tcW w:w="680" w:type="dxa"/>
            <w:tcBorders/>
            <w:shd w:fill="FFFFFF" w:val="clear"/>
            <w:vAlign w:val="center"/>
          </w:tcPr>
          <w:p>
            <w:pPr>
              <w:pStyle w:val="TableContents"/>
              <w:bidi w:val="0"/>
              <w:spacing w:before="0" w:after="283"/>
              <w:jc w:val="center"/>
              <w:rPr>
                <w:sz w:val="20"/>
              </w:rPr>
            </w:pPr>
            <w:r>
              <w:rPr>
                <w:sz w:val="20"/>
              </w:rPr>
              <w:t>16</w:t>
            </w:r>
          </w:p>
        </w:tc>
        <w:tc>
          <w:tcPr>
            <w:tcW w:w="1602" w:type="dxa"/>
            <w:tcBorders/>
            <w:shd w:fill="FFFFFF" w:val="clear"/>
            <w:vAlign w:val="center"/>
          </w:tcPr>
          <w:p>
            <w:pPr>
              <w:pStyle w:val="TableContents"/>
              <w:bidi w:val="0"/>
              <w:spacing w:before="0" w:after="283"/>
              <w:jc w:val="right"/>
              <w:rPr>
                <w:sz w:val="20"/>
              </w:rPr>
            </w:pPr>
            <w:r>
              <w:rPr>
                <w:sz w:val="20"/>
              </w:rPr>
              <w:t>(407,598)</w:t>
            </w:r>
          </w:p>
        </w:tc>
        <w:tc>
          <w:tcPr>
            <w:tcW w:w="1192" w:type="dxa"/>
            <w:tcBorders/>
            <w:shd w:fill="FFFFFF" w:val="clear"/>
            <w:vAlign w:val="center"/>
          </w:tcPr>
          <w:p>
            <w:pPr>
              <w:pStyle w:val="TableContents"/>
              <w:bidi w:val="0"/>
              <w:spacing w:before="0" w:after="283"/>
              <w:jc w:val="right"/>
              <w:rPr>
                <w:sz w:val="20"/>
              </w:rPr>
            </w:pPr>
            <w:r>
              <w:rPr>
                <w:sz w:val="20"/>
              </w:rPr>
              <w:t>(241,511)</w:t>
            </w:r>
          </w:p>
        </w:tc>
      </w:tr>
      <w:tr>
        <w:trPr/>
        <w:tc>
          <w:tcPr>
            <w:tcW w:w="6485" w:type="dxa"/>
            <w:tcBorders/>
            <w:shd w:fill="D5EAEA" w:val="clear"/>
            <w:vAlign w:val="center"/>
          </w:tcPr>
          <w:p>
            <w:pPr>
              <w:pStyle w:val="TableContents"/>
              <w:bidi w:val="0"/>
              <w:spacing w:before="0" w:after="283"/>
              <w:jc w:val="left"/>
              <w:rPr>
                <w:sz w:val="20"/>
              </w:rPr>
            </w:pPr>
            <w:r>
              <w:rPr>
                <w:sz w:val="20"/>
              </w:rPr>
              <w:t>Interest paid on loans</w:t>
            </w:r>
          </w:p>
        </w:tc>
        <w:tc>
          <w:tcPr>
            <w:tcW w:w="680" w:type="dxa"/>
            <w:tcBorders/>
            <w:shd w:fill="D5EAEA" w:val="clear"/>
            <w:vAlign w:val="center"/>
          </w:tcPr>
          <w:p>
            <w:pPr>
              <w:pStyle w:val="TableContents"/>
              <w:bidi w:val="0"/>
              <w:spacing w:before="0" w:after="283"/>
              <w:jc w:val="center"/>
              <w:rPr>
                <w:sz w:val="20"/>
              </w:rPr>
            </w:pPr>
            <w:r>
              <w:rPr>
                <w:sz w:val="20"/>
              </w:rPr>
              <w:t>16</w:t>
            </w:r>
          </w:p>
        </w:tc>
        <w:tc>
          <w:tcPr>
            <w:tcW w:w="1602" w:type="dxa"/>
            <w:tcBorders/>
            <w:shd w:fill="D5EAEA" w:val="clear"/>
            <w:vAlign w:val="center"/>
          </w:tcPr>
          <w:p>
            <w:pPr>
              <w:pStyle w:val="TableContents"/>
              <w:bidi w:val="0"/>
              <w:spacing w:before="0" w:after="283"/>
              <w:jc w:val="right"/>
              <w:rPr>
                <w:sz w:val="20"/>
              </w:rPr>
            </w:pPr>
            <w:r>
              <w:rPr>
                <w:sz w:val="20"/>
              </w:rPr>
              <w:t>(5,945)</w:t>
            </w:r>
          </w:p>
        </w:tc>
        <w:tc>
          <w:tcPr>
            <w:tcW w:w="1192" w:type="dxa"/>
            <w:tcBorders/>
            <w:shd w:fill="D5EAEA" w:val="clear"/>
            <w:vAlign w:val="center"/>
          </w:tcPr>
          <w:p>
            <w:pPr>
              <w:pStyle w:val="TableContents"/>
              <w:bidi w:val="0"/>
              <w:spacing w:before="0" w:after="283"/>
              <w:jc w:val="right"/>
              <w:rPr>
                <w:sz w:val="20"/>
              </w:rPr>
            </w:pPr>
            <w:r>
              <w:rPr>
                <w:sz w:val="20"/>
              </w:rPr>
              <w:t>(8,679)</w:t>
            </w:r>
          </w:p>
        </w:tc>
      </w:tr>
      <w:tr>
        <w:trPr/>
        <w:tc>
          <w:tcPr>
            <w:tcW w:w="6485" w:type="dxa"/>
            <w:tcBorders/>
            <w:shd w:fill="FFFFFF" w:val="clear"/>
            <w:vAlign w:val="center"/>
          </w:tcPr>
          <w:p>
            <w:pPr>
              <w:pStyle w:val="TableContents"/>
              <w:bidi w:val="0"/>
              <w:spacing w:before="0" w:after="283"/>
              <w:jc w:val="left"/>
              <w:rPr>
                <w:sz w:val="20"/>
              </w:rPr>
            </w:pPr>
            <w:r>
              <w:rPr>
                <w:sz w:val="20"/>
              </w:rPr>
              <w:t>Payment of loan fees</w:t>
            </w:r>
          </w:p>
        </w:tc>
        <w:tc>
          <w:tcPr>
            <w:tcW w:w="680" w:type="dxa"/>
            <w:tcBorders/>
            <w:shd w:fill="FFFFFF" w:val="clear"/>
            <w:vAlign w:val="center"/>
          </w:tcPr>
          <w:p>
            <w:pPr>
              <w:pStyle w:val="TableContents"/>
              <w:bidi w:val="0"/>
              <w:spacing w:before="0" w:after="283"/>
              <w:jc w:val="center"/>
              <w:rPr>
                <w:sz w:val="20"/>
              </w:rPr>
            </w:pPr>
            <w:r>
              <w:rPr>
                <w:sz w:val="20"/>
              </w:rPr>
              <w:t>16</w:t>
            </w:r>
          </w:p>
        </w:tc>
        <w:tc>
          <w:tcPr>
            <w:tcW w:w="1602" w:type="dxa"/>
            <w:tcBorders/>
            <w:shd w:fill="FFFFFF" w:val="clear"/>
            <w:vAlign w:val="center"/>
          </w:tcPr>
          <w:p>
            <w:pPr>
              <w:pStyle w:val="TableContents"/>
              <w:bidi w:val="0"/>
              <w:spacing w:before="0" w:after="283"/>
              <w:jc w:val="right"/>
              <w:rPr>
                <w:sz w:val="20"/>
              </w:rPr>
            </w:pPr>
            <w:r>
              <w:rPr>
                <w:sz w:val="20"/>
              </w:rPr>
              <w:t>(6,153)</w:t>
            </w:r>
          </w:p>
        </w:tc>
        <w:tc>
          <w:tcPr>
            <w:tcW w:w="1192" w:type="dxa"/>
            <w:tcBorders/>
            <w:shd w:fill="FFFFFF" w:val="clear"/>
            <w:vAlign w:val="center"/>
          </w:tcPr>
          <w:p>
            <w:pPr>
              <w:pStyle w:val="TableContents"/>
              <w:bidi w:val="0"/>
              <w:spacing w:before="0" w:after="283"/>
              <w:jc w:val="right"/>
              <w:rPr>
                <w:sz w:val="20"/>
              </w:rPr>
            </w:pPr>
            <w:r>
              <w:rPr>
                <w:sz w:val="20"/>
              </w:rPr>
              <w:t>(508)</w:t>
            </w:r>
          </w:p>
        </w:tc>
      </w:tr>
      <w:tr>
        <w:trPr/>
        <w:tc>
          <w:tcPr>
            <w:tcW w:w="6485" w:type="dxa"/>
            <w:tcBorders/>
            <w:shd w:fill="D5EAEA" w:val="clear"/>
            <w:vAlign w:val="center"/>
          </w:tcPr>
          <w:p>
            <w:pPr>
              <w:pStyle w:val="TableContents"/>
              <w:bidi w:val="0"/>
              <w:spacing w:before="0" w:after="283"/>
              <w:jc w:val="left"/>
              <w:rPr>
                <w:sz w:val="20"/>
              </w:rPr>
            </w:pPr>
            <w:r>
              <w:rPr>
                <w:sz w:val="20"/>
              </w:rPr>
              <w:t>Dividends paid to the Company’s shareholders</w:t>
            </w:r>
          </w:p>
        </w:tc>
        <w:tc>
          <w:tcPr>
            <w:tcW w:w="680" w:type="dxa"/>
            <w:tcBorders/>
            <w:shd w:fill="D5EAEA" w:val="clear"/>
            <w:vAlign w:val="center"/>
          </w:tcPr>
          <w:p>
            <w:pPr>
              <w:pStyle w:val="TableContents"/>
              <w:bidi w:val="0"/>
              <w:spacing w:before="0" w:after="283"/>
              <w:jc w:val="center"/>
              <w:rPr>
                <w:sz w:val="20"/>
              </w:rPr>
            </w:pPr>
            <w:r>
              <w:rPr>
                <w:sz w:val="20"/>
              </w:rPr>
              <w:t>29(c)</w:t>
            </w:r>
          </w:p>
        </w:tc>
        <w:tc>
          <w:tcPr>
            <w:tcW w:w="1602" w:type="dxa"/>
            <w:tcBorders/>
            <w:shd w:fill="D5EAEA" w:val="clear"/>
            <w:vAlign w:val="center"/>
          </w:tcPr>
          <w:p>
            <w:pPr>
              <w:pStyle w:val="TableContents"/>
              <w:bidi w:val="0"/>
              <w:spacing w:before="0" w:after="283"/>
              <w:jc w:val="right"/>
              <w:rPr>
                <w:sz w:val="20"/>
              </w:rPr>
            </w:pPr>
            <w:r>
              <w:rPr>
                <w:sz w:val="20"/>
              </w:rPr>
              <w:t>(50,629)</w:t>
            </w:r>
          </w:p>
        </w:tc>
        <w:tc>
          <w:tcPr>
            <w:tcW w:w="1192" w:type="dxa"/>
            <w:tcBorders/>
            <w:shd w:fill="D5EAEA" w:val="clear"/>
            <w:vAlign w:val="center"/>
          </w:tcPr>
          <w:p>
            <w:pPr>
              <w:pStyle w:val="TableContents"/>
              <w:bidi w:val="0"/>
              <w:spacing w:before="0" w:after="283"/>
              <w:jc w:val="right"/>
              <w:rPr>
                <w:sz w:val="20"/>
              </w:rPr>
            </w:pPr>
            <w:r>
              <w:rPr>
                <w:sz w:val="20"/>
              </w:rPr>
              <w:t>(47,301)</w:t>
            </w:r>
          </w:p>
        </w:tc>
      </w:tr>
      <w:tr>
        <w:trPr/>
        <w:tc>
          <w:tcPr>
            <w:tcW w:w="6485" w:type="dxa"/>
            <w:tcBorders/>
            <w:shd w:fill="FFFFFF" w:val="clear"/>
            <w:vAlign w:val="center"/>
          </w:tcPr>
          <w:p>
            <w:pPr>
              <w:pStyle w:val="TableContents"/>
              <w:bidi w:val="0"/>
              <w:spacing w:before="0" w:after="283"/>
              <w:jc w:val="left"/>
              <w:rPr>
                <w:sz w:val="20"/>
              </w:rPr>
            </w:pPr>
            <w:r>
              <w:rPr>
                <w:sz w:val="20"/>
              </w:rPr>
              <w:t>Dividends paid to non-controlling interest (NCI) shareholders</w:t>
            </w:r>
          </w:p>
        </w:tc>
        <w:tc>
          <w:tcPr>
            <w:tcW w:w="680" w:type="dxa"/>
            <w:tcBorders/>
            <w:shd w:fill="FFFFFF" w:val="clear"/>
            <w:vAlign w:val="center"/>
          </w:tcPr>
          <w:p>
            <w:pPr>
              <w:pStyle w:val="TableContents"/>
              <w:bidi w:val="0"/>
              <w:spacing w:before="0" w:after="283"/>
              <w:jc w:val="center"/>
              <w:rPr>
                <w:sz w:val="20"/>
              </w:rPr>
            </w:pPr>
            <w:r>
              <w:rPr>
                <w:sz w:val="20"/>
              </w:rPr>
              <w:t>29(i)</w:t>
            </w:r>
          </w:p>
        </w:tc>
        <w:tc>
          <w:tcPr>
            <w:tcW w:w="1602" w:type="dxa"/>
            <w:tcBorders/>
            <w:shd w:fill="FFFFFF" w:val="clear"/>
            <w:vAlign w:val="center"/>
          </w:tcPr>
          <w:p>
            <w:pPr>
              <w:pStyle w:val="TableContents"/>
              <w:bidi w:val="0"/>
              <w:spacing w:before="0" w:after="283"/>
              <w:jc w:val="right"/>
              <w:rPr>
                <w:sz w:val="20"/>
              </w:rPr>
            </w:pPr>
            <w:r>
              <w:rPr>
                <w:sz w:val="20"/>
              </w:rPr>
              <w:t>(4,761)</w:t>
            </w:r>
          </w:p>
        </w:tc>
        <w:tc>
          <w:tcPr>
            <w:tcW w:w="1192" w:type="dxa"/>
            <w:tcBorders/>
            <w:shd w:fill="FFFFFF" w:val="clear"/>
            <w:vAlign w:val="center"/>
          </w:tcPr>
          <w:p>
            <w:pPr>
              <w:pStyle w:val="TableContents"/>
              <w:bidi w:val="0"/>
              <w:spacing w:before="0" w:after="283"/>
              <w:jc w:val="right"/>
              <w:rPr>
                <w:sz w:val="20"/>
              </w:rPr>
            </w:pPr>
            <w:r>
              <w:rPr>
                <w:sz w:val="20"/>
              </w:rPr>
              <w:t>-</w:t>
            </w:r>
          </w:p>
        </w:tc>
      </w:tr>
      <w:tr>
        <w:trPr/>
        <w:tc>
          <w:tcPr>
            <w:tcW w:w="6485" w:type="dxa"/>
            <w:tcBorders/>
            <w:shd w:fill="D5EAEA" w:val="clear"/>
            <w:vAlign w:val="center"/>
          </w:tcPr>
          <w:p>
            <w:pPr>
              <w:pStyle w:val="TableContents"/>
              <w:bidi w:val="0"/>
              <w:spacing w:before="0" w:after="283"/>
              <w:jc w:val="left"/>
              <w:rPr>
                <w:sz w:val="20"/>
              </w:rPr>
            </w:pPr>
            <w:r>
              <w:rPr>
                <w:sz w:val="20"/>
              </w:rPr>
              <w:t>Capital contributions received from non-controlling interest (NCI)</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w:t>
            </w:r>
          </w:p>
        </w:tc>
        <w:tc>
          <w:tcPr>
            <w:tcW w:w="1192" w:type="dxa"/>
            <w:tcBorders/>
            <w:shd w:fill="D5EAEA" w:val="clear"/>
            <w:vAlign w:val="center"/>
          </w:tcPr>
          <w:p>
            <w:pPr>
              <w:pStyle w:val="TableContents"/>
              <w:bidi w:val="0"/>
              <w:spacing w:before="0" w:after="283"/>
              <w:jc w:val="right"/>
              <w:rPr>
                <w:sz w:val="20"/>
              </w:rPr>
            </w:pPr>
            <w:r>
              <w:rPr>
                <w:sz w:val="20"/>
              </w:rPr>
              <w:t>3,506</w:t>
            </w:r>
          </w:p>
        </w:tc>
      </w:tr>
      <w:tr>
        <w:trPr/>
        <w:tc>
          <w:tcPr>
            <w:tcW w:w="6485" w:type="dxa"/>
            <w:tcBorders/>
            <w:shd w:fill="FFFFFF" w:val="clear"/>
            <w:vAlign w:val="center"/>
          </w:tcPr>
          <w:p>
            <w:pPr>
              <w:pStyle w:val="TableContents"/>
              <w:bidi w:val="0"/>
              <w:spacing w:before="0" w:after="283"/>
              <w:jc w:val="left"/>
              <w:rPr>
                <w:sz w:val="20"/>
              </w:rPr>
            </w:pPr>
            <w:r>
              <w:rPr>
                <w:sz w:val="20"/>
              </w:rPr>
              <w:t>Treasury shares</w:t>
            </w:r>
          </w:p>
        </w:tc>
        <w:tc>
          <w:tcPr>
            <w:tcW w:w="680" w:type="dxa"/>
            <w:tcBorders/>
            <w:shd w:fill="FFFFFF" w:val="clear"/>
            <w:vAlign w:val="center"/>
          </w:tcPr>
          <w:p>
            <w:pPr>
              <w:pStyle w:val="TableContents"/>
              <w:bidi w:val="0"/>
              <w:spacing w:before="0" w:after="283"/>
              <w:jc w:val="center"/>
              <w:rPr>
                <w:sz w:val="20"/>
              </w:rPr>
            </w:pPr>
            <w:r>
              <w:rPr>
                <w:sz w:val="20"/>
              </w:rPr>
              <w:t>29(g)</w:t>
            </w:r>
          </w:p>
        </w:tc>
        <w:tc>
          <w:tcPr>
            <w:tcW w:w="1602" w:type="dxa"/>
            <w:tcBorders/>
            <w:shd w:fill="FFFFFF" w:val="clear"/>
            <w:vAlign w:val="center"/>
          </w:tcPr>
          <w:p>
            <w:pPr>
              <w:pStyle w:val="TableContents"/>
              <w:bidi w:val="0"/>
              <w:spacing w:before="0" w:after="283"/>
              <w:jc w:val="right"/>
              <w:rPr>
                <w:sz w:val="20"/>
              </w:rPr>
            </w:pPr>
            <w:r>
              <w:rPr>
                <w:sz w:val="20"/>
              </w:rPr>
              <w:t>(12,683)</w:t>
            </w:r>
          </w:p>
        </w:tc>
        <w:tc>
          <w:tcPr>
            <w:tcW w:w="1192" w:type="dxa"/>
            <w:tcBorders/>
            <w:shd w:fill="FFFFFF" w:val="clear"/>
            <w:vAlign w:val="center"/>
          </w:tcPr>
          <w:p>
            <w:pPr>
              <w:pStyle w:val="TableContents"/>
              <w:bidi w:val="0"/>
              <w:spacing w:before="0" w:after="283"/>
              <w:jc w:val="right"/>
              <w:rPr>
                <w:sz w:val="20"/>
              </w:rPr>
            </w:pPr>
            <w:r>
              <w:rPr>
                <w:sz w:val="20"/>
              </w:rPr>
              <w:t>-</w:t>
            </w:r>
          </w:p>
        </w:tc>
      </w:tr>
      <w:tr>
        <w:trPr/>
        <w:tc>
          <w:tcPr>
            <w:tcW w:w="6485" w:type="dxa"/>
            <w:tcBorders/>
            <w:shd w:fill="D5EAEA" w:val="clear"/>
            <w:vAlign w:val="center"/>
          </w:tcPr>
          <w:p>
            <w:pPr>
              <w:pStyle w:val="TableContents"/>
              <w:bidi w:val="0"/>
              <w:spacing w:before="0" w:after="283"/>
              <w:jc w:val="left"/>
              <w:rPr>
                <w:sz w:val="20"/>
              </w:rPr>
            </w:pPr>
            <w:r>
              <w:rPr>
                <w:sz w:val="20"/>
              </w:rPr>
              <w:t>Deposits into SPAC trust account - Commitment subject to possible redemption</w:t>
            </w:r>
          </w:p>
        </w:tc>
        <w:tc>
          <w:tcPr>
            <w:tcW w:w="680" w:type="dxa"/>
            <w:tcBorders/>
            <w:shd w:fill="D5EAEA" w:val="clear"/>
            <w:vAlign w:val="center"/>
          </w:tcPr>
          <w:p>
            <w:pPr>
              <w:pStyle w:val="TableContents"/>
              <w:bidi w:val="0"/>
              <w:spacing w:before="0" w:after="283"/>
              <w:jc w:val="center"/>
              <w:rPr>
                <w:sz w:val="20"/>
              </w:rPr>
            </w:pPr>
            <w:r>
              <w:rPr>
                <w:sz w:val="20"/>
              </w:rPr>
              <w:t>21(c)</w:t>
            </w:r>
          </w:p>
        </w:tc>
        <w:tc>
          <w:tcPr>
            <w:tcW w:w="1602" w:type="dxa"/>
            <w:tcBorders/>
            <w:shd w:fill="D5EAEA" w:val="clear"/>
            <w:vAlign w:val="center"/>
          </w:tcPr>
          <w:p>
            <w:pPr>
              <w:pStyle w:val="TableContents"/>
              <w:bidi w:val="0"/>
              <w:spacing w:before="0" w:after="283"/>
              <w:jc w:val="right"/>
              <w:rPr>
                <w:sz w:val="20"/>
              </w:rPr>
            </w:pPr>
            <w:r>
              <w:rPr>
                <w:sz w:val="20"/>
              </w:rPr>
              <w:t>-</w:t>
            </w:r>
          </w:p>
        </w:tc>
        <w:tc>
          <w:tcPr>
            <w:tcW w:w="1192" w:type="dxa"/>
            <w:tcBorders/>
            <w:shd w:fill="D5EAEA" w:val="clear"/>
            <w:vAlign w:val="center"/>
          </w:tcPr>
          <w:p>
            <w:pPr>
              <w:pStyle w:val="TableContents"/>
              <w:bidi w:val="0"/>
              <w:spacing w:before="0" w:after="283"/>
              <w:jc w:val="right"/>
              <w:rPr>
                <w:sz w:val="20"/>
              </w:rPr>
            </w:pPr>
            <w:r>
              <w:rPr>
                <w:sz w:val="20"/>
              </w:rPr>
              <w:t>409</w:t>
            </w:r>
          </w:p>
        </w:tc>
      </w:tr>
      <w:tr>
        <w:trPr/>
        <w:tc>
          <w:tcPr>
            <w:tcW w:w="6485" w:type="dxa"/>
            <w:tcBorders/>
            <w:shd w:fill="FFFFFF" w:val="clear"/>
            <w:vAlign w:val="center"/>
          </w:tcPr>
          <w:p>
            <w:pPr>
              <w:pStyle w:val="TableContents"/>
              <w:bidi w:val="0"/>
              <w:spacing w:before="0" w:after="283"/>
              <w:jc w:val="left"/>
              <w:rPr>
                <w:sz w:val="20"/>
              </w:rPr>
            </w:pPr>
            <w:r>
              <w:rPr>
                <w:sz w:val="20"/>
              </w:rPr>
              <w:t>Payment of consideration payable from acquisitions</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(57,114)</w:t>
            </w:r>
          </w:p>
        </w:tc>
        <w:tc>
          <w:tcPr>
            <w:tcW w:w="1192" w:type="dxa"/>
            <w:tcBorders/>
            <w:shd w:fill="FFFFFF" w:val="clear"/>
            <w:vAlign w:val="center"/>
          </w:tcPr>
          <w:p>
            <w:pPr>
              <w:pStyle w:val="TableContents"/>
              <w:bidi w:val="0"/>
              <w:spacing w:before="0" w:after="283"/>
              <w:jc w:val="right"/>
              <w:rPr>
                <w:sz w:val="20"/>
              </w:rPr>
            </w:pPr>
            <w:r>
              <w:rPr>
                <w:sz w:val="20"/>
              </w:rPr>
              <w:t>(22,867)</w:t>
            </w:r>
          </w:p>
        </w:tc>
      </w:tr>
      <w:tr>
        <w:trPr/>
        <w:tc>
          <w:tcPr>
            <w:tcW w:w="6485" w:type="dxa"/>
            <w:tcBorders/>
            <w:shd w:fill="D5EAEA" w:val="clear"/>
            <w:vAlign w:val="center"/>
          </w:tcPr>
          <w:p>
            <w:pPr>
              <w:pStyle w:val="TableContents"/>
              <w:bidi w:val="0"/>
              <w:spacing w:before="0" w:after="283"/>
              <w:jc w:val="left"/>
              <w:rPr>
                <w:sz w:val="20"/>
              </w:rPr>
            </w:pPr>
            <w:r>
              <w:rPr>
                <w:sz w:val="20"/>
              </w:rPr>
              <w:t>Total return swap</w:t>
            </w:r>
          </w:p>
        </w:tc>
        <w:tc>
          <w:tcPr>
            <w:tcW w:w="680" w:type="dxa"/>
            <w:tcBorders/>
            <w:shd w:fill="D5EAEA" w:val="clear"/>
            <w:vAlign w:val="center"/>
          </w:tcPr>
          <w:p>
            <w:pPr>
              <w:pStyle w:val="TableContents"/>
              <w:bidi w:val="0"/>
              <w:spacing w:before="0" w:after="283"/>
              <w:jc w:val="center"/>
              <w:rPr/>
            </w:pPr>
            <w:r>
              <w:rPr/>
              <w:t> </w:t>
            </w:r>
          </w:p>
        </w:tc>
        <w:tc>
          <w:tcPr>
            <w:tcW w:w="1602" w:type="dxa"/>
            <w:tcBorders/>
            <w:shd w:fill="D5EAEA" w:val="clear"/>
            <w:vAlign w:val="center"/>
          </w:tcPr>
          <w:p>
            <w:pPr>
              <w:pStyle w:val="TableContents"/>
              <w:bidi w:val="0"/>
              <w:spacing w:before="0" w:after="283"/>
              <w:jc w:val="right"/>
              <w:rPr>
                <w:sz w:val="20"/>
              </w:rPr>
            </w:pPr>
            <w:r>
              <w:rPr>
                <w:sz w:val="20"/>
              </w:rPr>
              <w:t>(3,526)</w:t>
            </w:r>
          </w:p>
        </w:tc>
        <w:tc>
          <w:tcPr>
            <w:tcW w:w="1192" w:type="dxa"/>
            <w:tcBorders/>
            <w:shd w:fill="D5EAEA" w:val="clear"/>
            <w:vAlign w:val="center"/>
          </w:tcPr>
          <w:p>
            <w:pPr>
              <w:pStyle w:val="TableContents"/>
              <w:bidi w:val="0"/>
              <w:spacing w:before="0" w:after="283"/>
              <w:jc w:val="right"/>
              <w:rPr>
                <w:sz w:val="20"/>
              </w:rPr>
            </w:pPr>
            <w:r>
              <w:rPr>
                <w:sz w:val="20"/>
              </w:rPr>
              <w:t>-</w:t>
            </w:r>
          </w:p>
        </w:tc>
      </w:tr>
      <w:tr>
        <w:trPr/>
        <w:tc>
          <w:tcPr>
            <w:tcW w:w="6485" w:type="dxa"/>
            <w:tcBorders/>
            <w:shd w:fill="FFFFFF" w:val="clear"/>
            <w:vAlign w:val="center"/>
          </w:tcPr>
          <w:p>
            <w:pPr>
              <w:pStyle w:val="TableContents"/>
              <w:bidi w:val="0"/>
              <w:spacing w:before="0" w:after="283"/>
              <w:jc w:val="left"/>
              <w:rPr>
                <w:sz w:val="20"/>
              </w:rPr>
            </w:pPr>
            <w:r>
              <w:rPr>
                <w:sz w:val="20"/>
              </w:rPr>
              <w:t>Lease payments</w:t>
            </w:r>
          </w:p>
        </w:tc>
        <w:tc>
          <w:tcPr>
            <w:tcW w:w="680" w:type="dxa"/>
            <w:tcBorders/>
            <w:shd w:fill="FFFFFF" w:val="clear"/>
            <w:vAlign w:val="center"/>
          </w:tcPr>
          <w:p>
            <w:pPr>
              <w:pStyle w:val="TableContents"/>
              <w:bidi w:val="0"/>
              <w:spacing w:before="0" w:after="283"/>
              <w:jc w:val="center"/>
              <w:rPr>
                <w:sz w:val="20"/>
              </w:rPr>
            </w:pPr>
            <w:r>
              <w:rPr>
                <w:sz w:val="20"/>
              </w:rPr>
              <w:t>21(a)</w:t>
            </w:r>
          </w:p>
        </w:tc>
        <w:tc>
          <w:tcPr>
            <w:tcW w:w="1602" w:type="dxa"/>
            <w:tcBorders/>
            <w:shd w:fill="FFFFFF" w:val="clear"/>
            <w:vAlign w:val="center"/>
          </w:tcPr>
          <w:p>
            <w:pPr>
              <w:pStyle w:val="TableContents"/>
              <w:bidi w:val="0"/>
              <w:spacing w:before="0" w:after="283"/>
              <w:jc w:val="right"/>
              <w:rPr>
                <w:sz w:val="20"/>
              </w:rPr>
            </w:pPr>
            <w:r>
              <w:rPr>
                <w:sz w:val="20"/>
              </w:rPr>
              <w:t>(3,325)</w:t>
            </w:r>
          </w:p>
        </w:tc>
        <w:tc>
          <w:tcPr>
            <w:tcW w:w="1192" w:type="dxa"/>
            <w:tcBorders/>
            <w:shd w:fill="FFFFFF" w:val="clear"/>
            <w:vAlign w:val="center"/>
          </w:tcPr>
          <w:p>
            <w:pPr>
              <w:pStyle w:val="TableContents"/>
              <w:bidi w:val="0"/>
              <w:spacing w:before="0" w:after="283"/>
              <w:jc w:val="right"/>
              <w:rPr>
                <w:sz w:val="20"/>
              </w:rPr>
            </w:pPr>
            <w:r>
              <w:rPr>
                <w:sz w:val="20"/>
              </w:rPr>
              <w:t>(1,957)</w:t>
            </w:r>
          </w:p>
        </w:tc>
      </w:tr>
      <w:tr>
        <w:trPr/>
        <w:tc>
          <w:tcPr>
            <w:tcW w:w="6485" w:type="dxa"/>
            <w:tcBorders/>
            <w:shd w:fill="D5EAEA" w:val="clear"/>
            <w:vAlign w:val="center"/>
          </w:tcPr>
          <w:p>
            <w:pPr>
              <w:pStyle w:val="TableContents"/>
              <w:bidi w:val="0"/>
              <w:spacing w:before="0" w:after="283"/>
              <w:jc w:val="left"/>
              <w:rPr>
                <w:sz w:val="20"/>
              </w:rPr>
            </w:pPr>
            <w:r>
              <w:rPr>
                <w:sz w:val="20"/>
              </w:rPr>
              <w:t>Interest paid on lease liabilities</w:t>
            </w:r>
          </w:p>
        </w:tc>
        <w:tc>
          <w:tcPr>
            <w:tcW w:w="680" w:type="dxa"/>
            <w:tcBorders/>
            <w:shd w:fill="D5EAEA" w:val="clear"/>
            <w:vAlign w:val="center"/>
          </w:tcPr>
          <w:p>
            <w:pPr>
              <w:pStyle w:val="TableContents"/>
              <w:bidi w:val="0"/>
              <w:spacing w:before="0" w:after="283"/>
              <w:jc w:val="center"/>
              <w:rPr>
                <w:sz w:val="20"/>
              </w:rPr>
            </w:pPr>
            <w:r>
              <w:rPr>
                <w:sz w:val="20"/>
              </w:rPr>
              <w:t>21(a)</w:t>
            </w:r>
          </w:p>
        </w:tc>
        <w:tc>
          <w:tcPr>
            <w:tcW w:w="1602" w:type="dxa"/>
            <w:tcBorders/>
            <w:shd w:fill="D5EAEA" w:val="clear"/>
            <w:vAlign w:val="center"/>
          </w:tcPr>
          <w:p>
            <w:pPr>
              <w:pStyle w:val="TableContents"/>
              <w:bidi w:val="0"/>
              <w:spacing w:before="0" w:after="283"/>
              <w:jc w:val="right"/>
              <w:rPr>
                <w:sz w:val="20"/>
              </w:rPr>
            </w:pPr>
            <w:r>
              <w:rPr>
                <w:sz w:val="20"/>
              </w:rPr>
              <w:t>(866)</w:t>
            </w:r>
          </w:p>
        </w:tc>
        <w:tc>
          <w:tcPr>
            <w:tcW w:w="1192" w:type="dxa"/>
            <w:tcBorders/>
            <w:shd w:fill="D5EAEA" w:val="clear"/>
            <w:vAlign w:val="center"/>
          </w:tcPr>
          <w:p>
            <w:pPr>
              <w:pStyle w:val="TableContents"/>
              <w:bidi w:val="0"/>
              <w:spacing w:before="0" w:after="283"/>
              <w:jc w:val="right"/>
              <w:rPr>
                <w:sz w:val="20"/>
              </w:rPr>
            </w:pPr>
            <w:r>
              <w:rPr>
                <w:sz w:val="20"/>
              </w:rPr>
              <w:t>(854)</w:t>
            </w:r>
          </w:p>
        </w:tc>
      </w:tr>
      <w:tr>
        <w:trPr/>
        <w:tc>
          <w:tcPr>
            <w:tcW w:w="6485" w:type="dxa"/>
            <w:tcBorders/>
            <w:shd w:fill="FFFFFF" w:val="clear"/>
            <w:vAlign w:val="center"/>
          </w:tcPr>
          <w:p>
            <w:pPr>
              <w:pStyle w:val="TableContents"/>
              <w:bidi w:val="0"/>
              <w:spacing w:before="0" w:after="283"/>
              <w:jc w:val="left"/>
              <w:rPr>
                <w:b/>
                <w:sz w:val="20"/>
              </w:rPr>
            </w:pPr>
            <w:r>
              <w:rPr>
                <w:b/>
                <w:sz w:val="20"/>
              </w:rPr>
              <w:t>Net cash provided by/(used) in financing activities</w:t>
            </w:r>
          </w:p>
        </w:tc>
        <w:tc>
          <w:tcPr>
            <w:tcW w:w="680" w:type="dxa"/>
            <w:tcBorders/>
            <w:shd w:fill="FFFFFF" w:val="clear"/>
            <w:vAlign w:val="center"/>
          </w:tcPr>
          <w:p>
            <w:pPr>
              <w:pStyle w:val="TableContents"/>
              <w:bidi w:val="0"/>
              <w:spacing w:before="0" w:after="283"/>
              <w:jc w:val="center"/>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29,200</w:t>
            </w:r>
          </w:p>
        </w:tc>
        <w:tc>
          <w:tcPr>
            <w:tcW w:w="119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(143,366)</w:t>
            </w:r>
          </w:p>
        </w:tc>
      </w:tr>
      <w:tr>
        <w:trPr/>
        <w:tc>
          <w:tcPr>
            <w:tcW w:w="6485" w:type="dxa"/>
            <w:tcBorders/>
            <w:shd w:fill="D5EAEA" w:val="clear"/>
            <w:vAlign w:val="center"/>
          </w:tcPr>
          <w:p>
            <w:pPr>
              <w:pStyle w:val="TableContents"/>
              <w:bidi w:val="0"/>
              <w:spacing w:before="0" w:after="283"/>
              <w:jc w:val="left"/>
              <w:rPr/>
            </w:pPr>
            <w:r>
              <w:rPr/>
              <w:t> </w:t>
            </w:r>
          </w:p>
        </w:tc>
        <w:tc>
          <w:tcPr>
            <w:tcW w:w="680" w:type="dxa"/>
            <w:tcBorders/>
            <w:shd w:fill="D5EAEA" w:val="clear"/>
            <w:vAlign w:val="center"/>
          </w:tcPr>
          <w:p>
            <w:pPr>
              <w:pStyle w:val="TableContents"/>
              <w:bidi w:val="0"/>
              <w:spacing w:before="0" w:after="283"/>
              <w:jc w:val="left"/>
              <w:rPr/>
            </w:pPr>
            <w:r>
              <w:rPr/>
              <w:t> </w:t>
            </w:r>
          </w:p>
        </w:tc>
        <w:tc>
          <w:tcPr>
            <w:tcW w:w="1602" w:type="dxa"/>
            <w:tcBorders/>
            <w:shd w:fill="D5EAEA" w:val="clear"/>
            <w:vAlign w:val="center"/>
          </w:tcPr>
          <w:p>
            <w:pPr>
              <w:pStyle w:val="TableContents"/>
              <w:bidi w:val="0"/>
              <w:spacing w:before="0" w:after="283"/>
              <w:jc w:val="right"/>
              <w:rPr/>
            </w:pPr>
            <w:r>
              <w:rPr/>
              <w:t> </w:t>
            </w:r>
          </w:p>
        </w:tc>
        <w:tc>
          <w:tcPr>
            <w:tcW w:w="1192" w:type="dxa"/>
            <w:tcBorders/>
            <w:shd w:fill="D5EAEA" w:val="clear"/>
            <w:vAlign w:val="center"/>
          </w:tcPr>
          <w:p>
            <w:pPr>
              <w:pStyle w:val="TableContents"/>
              <w:bidi w:val="0"/>
              <w:spacing w:before="0" w:after="283"/>
              <w:jc w:val="right"/>
              <w:rPr/>
            </w:pPr>
            <w:r>
              <w:rPr/>
              <w:t> </w:t>
            </w:r>
          </w:p>
        </w:tc>
      </w:tr>
      <w:tr>
        <w:trPr/>
        <w:tc>
          <w:tcPr>
            <w:tcW w:w="6485" w:type="dxa"/>
            <w:tcBorders/>
            <w:shd w:fill="FFFFFF" w:val="clear"/>
            <w:vAlign w:val="center"/>
          </w:tcPr>
          <w:p>
            <w:pPr>
              <w:pStyle w:val="TableContents"/>
              <w:bidi w:val="0"/>
              <w:spacing w:before="0" w:after="283"/>
              <w:jc w:val="left"/>
              <w:rPr>
                <w:sz w:val="20"/>
              </w:rPr>
            </w:pPr>
            <w:r>
              <w:rPr>
                <w:sz w:val="20"/>
              </w:rPr>
              <w:t>Foreign exchange variation on cash and cash equivalents in foreign currencies</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(1,347)</w:t>
            </w:r>
          </w:p>
        </w:tc>
        <w:tc>
          <w:tcPr>
            <w:tcW w:w="1192" w:type="dxa"/>
            <w:tcBorders/>
            <w:shd w:fill="FFFFFF" w:val="clear"/>
            <w:vAlign w:val="center"/>
          </w:tcPr>
          <w:p>
            <w:pPr>
              <w:pStyle w:val="TableContents"/>
              <w:bidi w:val="0"/>
              <w:spacing w:before="0" w:after="283"/>
              <w:jc w:val="right"/>
              <w:rPr>
                <w:sz w:val="20"/>
              </w:rPr>
            </w:pPr>
            <w:r>
              <w:rPr>
                <w:sz w:val="20"/>
              </w:rPr>
              <w:t>2,981</w:t>
            </w:r>
          </w:p>
        </w:tc>
      </w:tr>
      <w:tr>
        <w:trPr/>
        <w:tc>
          <w:tcPr>
            <w:tcW w:w="6485" w:type="dxa"/>
            <w:tcBorders/>
            <w:shd w:fill="D5EAEA" w:val="clear"/>
            <w:vAlign w:val="center"/>
          </w:tcPr>
          <w:p>
            <w:pPr>
              <w:pStyle w:val="TableContents"/>
              <w:bidi w:val="0"/>
              <w:spacing w:before="0" w:after="283"/>
              <w:jc w:val="left"/>
              <w:rPr/>
            </w:pPr>
            <w:r>
              <w:rPr/>
              <w:t> </w:t>
            </w:r>
          </w:p>
        </w:tc>
        <w:tc>
          <w:tcPr>
            <w:tcW w:w="680" w:type="dxa"/>
            <w:tcBorders/>
            <w:shd w:fill="D5EAEA" w:val="clear"/>
            <w:vAlign w:val="center"/>
          </w:tcPr>
          <w:p>
            <w:pPr>
              <w:pStyle w:val="TableContents"/>
              <w:bidi w:val="0"/>
              <w:spacing w:before="0" w:after="283"/>
              <w:jc w:val="left"/>
              <w:rPr/>
            </w:pPr>
            <w:r>
              <w:rPr/>
              <w:t> </w:t>
            </w:r>
          </w:p>
        </w:tc>
        <w:tc>
          <w:tcPr>
            <w:tcW w:w="1602"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1192"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r>
      <w:tr>
        <w:trPr/>
        <w:tc>
          <w:tcPr>
            <w:tcW w:w="6485" w:type="dxa"/>
            <w:tcBorders/>
            <w:shd w:fill="FFFFFF" w:val="clear"/>
            <w:vAlign w:val="center"/>
          </w:tcPr>
          <w:p>
            <w:pPr>
              <w:pStyle w:val="TableContents"/>
              <w:bidi w:val="0"/>
              <w:spacing w:before="0" w:after="283"/>
              <w:jc w:val="left"/>
              <w:rPr>
                <w:b/>
                <w:sz w:val="20"/>
              </w:rPr>
            </w:pPr>
            <w:r>
              <w:rPr>
                <w:b/>
                <w:sz w:val="20"/>
              </w:rPr>
              <w:t>Increase/(Decrease) in cash and cash equivalents</w:t>
            </w:r>
          </w:p>
        </w:tc>
        <w:tc>
          <w:tcPr>
            <w:tcW w:w="680" w:type="dxa"/>
            <w:tcBorders/>
            <w:shd w:fill="FFFFFF" w:val="clear"/>
            <w:vAlign w:val="center"/>
          </w:tcPr>
          <w:p>
            <w:pPr>
              <w:pStyle w:val="TableContents"/>
              <w:bidi w:val="0"/>
              <w:spacing w:before="0" w:after="283"/>
              <w:jc w:val="center"/>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5,272</w:t>
            </w:r>
          </w:p>
        </w:tc>
        <w:tc>
          <w:tcPr>
            <w:tcW w:w="119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(4,879)</w:t>
            </w:r>
          </w:p>
        </w:tc>
      </w:tr>
      <w:tr>
        <w:trPr/>
        <w:tc>
          <w:tcPr>
            <w:tcW w:w="6485" w:type="dxa"/>
            <w:tcBorders/>
            <w:shd w:fill="D5EAEA" w:val="clear"/>
            <w:vAlign w:val="center"/>
          </w:tcPr>
          <w:p>
            <w:pPr>
              <w:pStyle w:val="TableContents"/>
              <w:bidi w:val="0"/>
              <w:spacing w:before="0" w:after="283"/>
              <w:jc w:val="left"/>
              <w:rPr>
                <w:sz w:val="20"/>
              </w:rPr>
            </w:pPr>
            <w:r>
              <w:rPr>
                <w:sz w:val="20"/>
              </w:rPr>
              <w:t>Cash and cash equivalents at the beginning of the period</w:t>
            </w:r>
          </w:p>
        </w:tc>
        <w:tc>
          <w:tcPr>
            <w:tcW w:w="680" w:type="dxa"/>
            <w:tcBorders/>
            <w:shd w:fill="D5EAEA" w:val="clear"/>
            <w:vAlign w:val="center"/>
          </w:tcPr>
          <w:p>
            <w:pPr>
              <w:pStyle w:val="TableContents"/>
              <w:bidi w:val="0"/>
              <w:spacing w:before="0" w:after="283"/>
              <w:jc w:val="center"/>
              <w:rPr>
                <w:sz w:val="20"/>
              </w:rPr>
            </w:pPr>
            <w:r>
              <w:rPr>
                <w:sz w:val="20"/>
              </w:rPr>
              <w:t>6</w:t>
            </w:r>
          </w:p>
        </w:tc>
        <w:tc>
          <w:tcPr>
            <w:tcW w:w="1602" w:type="dxa"/>
            <w:tcBorders/>
            <w:shd w:fill="D5EAEA" w:val="clear"/>
            <w:vAlign w:val="center"/>
          </w:tcPr>
          <w:p>
            <w:pPr>
              <w:pStyle w:val="TableContents"/>
              <w:bidi w:val="0"/>
              <w:spacing w:before="0" w:after="283"/>
              <w:jc w:val="right"/>
              <w:rPr>
                <w:sz w:val="20"/>
              </w:rPr>
            </w:pPr>
            <w:r>
              <w:rPr>
                <w:sz w:val="20"/>
              </w:rPr>
              <w:t>53,601</w:t>
            </w:r>
          </w:p>
        </w:tc>
        <w:tc>
          <w:tcPr>
            <w:tcW w:w="1192" w:type="dxa"/>
            <w:tcBorders/>
            <w:shd w:fill="D5EAEA" w:val="clear"/>
            <w:vAlign w:val="center"/>
          </w:tcPr>
          <w:p>
            <w:pPr>
              <w:pStyle w:val="TableContents"/>
              <w:bidi w:val="0"/>
              <w:spacing w:before="0" w:after="283"/>
              <w:jc w:val="right"/>
              <w:rPr>
                <w:sz w:val="20"/>
              </w:rPr>
            </w:pPr>
            <w:r>
              <w:rPr>
                <w:sz w:val="20"/>
              </w:rPr>
              <w:t>33,418</w:t>
            </w:r>
          </w:p>
        </w:tc>
      </w:tr>
      <w:tr>
        <w:trPr/>
        <w:tc>
          <w:tcPr>
            <w:tcW w:w="6485" w:type="dxa"/>
            <w:tcBorders/>
            <w:shd w:fill="FFFFFF" w:val="clear"/>
            <w:vAlign w:val="center"/>
          </w:tcPr>
          <w:p>
            <w:pPr>
              <w:pStyle w:val="TableContents"/>
              <w:bidi w:val="0"/>
              <w:spacing w:before="0" w:after="283"/>
              <w:jc w:val="left"/>
              <w:rPr>
                <w:sz w:val="20"/>
              </w:rPr>
            </w:pPr>
            <w:r>
              <w:rPr>
                <w:sz w:val="20"/>
              </w:rPr>
              <w:t>Cash and cash equivalents at the end of the period</w:t>
            </w:r>
          </w:p>
        </w:tc>
        <w:tc>
          <w:tcPr>
            <w:tcW w:w="680" w:type="dxa"/>
            <w:tcBorders/>
            <w:shd w:fill="FFFFFF" w:val="clear"/>
            <w:vAlign w:val="center"/>
          </w:tcPr>
          <w:p>
            <w:pPr>
              <w:pStyle w:val="TableContents"/>
              <w:bidi w:val="0"/>
              <w:spacing w:before="0" w:after="283"/>
              <w:jc w:val="center"/>
              <w:rPr>
                <w:sz w:val="20"/>
              </w:rPr>
            </w:pPr>
            <w:r>
              <w:rPr>
                <w:sz w:val="20"/>
              </w:rPr>
              <w:t>6</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58,873</w:t>
            </w:r>
          </w:p>
        </w:tc>
        <w:tc>
          <w:tcPr>
            <w:tcW w:w="119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28,539</w:t>
            </w:r>
          </w:p>
        </w:tc>
      </w:tr>
      <w:tr>
        <w:trPr/>
        <w:tc>
          <w:tcPr>
            <w:tcW w:w="6485" w:type="dxa"/>
            <w:tcBorders/>
            <w:shd w:fill="D5EAEA" w:val="clear"/>
            <w:vAlign w:val="center"/>
          </w:tcPr>
          <w:p>
            <w:pPr>
              <w:pStyle w:val="TableContents"/>
              <w:bidi w:val="0"/>
              <w:spacing w:before="0" w:after="283"/>
              <w:jc w:val="left"/>
              <w:rPr>
                <w:b/>
                <w:sz w:val="20"/>
              </w:rPr>
            </w:pPr>
            <w:r>
              <w:rPr>
                <w:b/>
                <w:sz w:val="20"/>
              </w:rPr>
              <w:t>Increase/(Decrease) in cash and cash equivalents</w:t>
            </w:r>
          </w:p>
        </w:tc>
        <w:tc>
          <w:tcPr>
            <w:tcW w:w="680" w:type="dxa"/>
            <w:tcBorders/>
            <w:shd w:fill="D5EAEA" w:val="clear"/>
            <w:vAlign w:val="center"/>
          </w:tcPr>
          <w:p>
            <w:pPr>
              <w:pStyle w:val="TableContents"/>
              <w:bidi w:val="0"/>
              <w:spacing w:before="0" w:after="283"/>
              <w:jc w:val="center"/>
              <w:rPr/>
            </w:pPr>
            <w:r>
              <w:rPr/>
              <w:t> </w:t>
            </w:r>
          </w:p>
        </w:tc>
        <w:tc>
          <w:tcPr>
            <w:tcW w:w="1602"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5,272</w:t>
            </w:r>
          </w:p>
        </w:tc>
        <w:tc>
          <w:tcPr>
            <w:tcW w:w="1192"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(4,879)</w:t>
            </w:r>
          </w:p>
        </w:tc>
      </w:tr>
      <w:tr>
        <w:trPr/>
        <w:tc>
          <w:tcPr>
            <w:tcW w:w="6485" w:type="dxa"/>
            <w:tcBorders/>
            <w:shd w:fill="FFFFFF" w:val="clear"/>
            <w:vAlign w:val="center"/>
          </w:tcPr>
          <w:p>
            <w:pPr>
              <w:pStyle w:val="TableContents"/>
              <w:bidi w:val="0"/>
              <w:spacing w:before="0" w:after="283"/>
              <w:jc w:val="left"/>
              <w:rPr>
                <w:b/>
                <w:sz w:val="20"/>
              </w:rPr>
            </w:pPr>
            <w:r>
              <w:rPr>
                <w:b/>
                <w:sz w:val="20"/>
              </w:rPr>
              <w:t>Non-cash operating, investing and financing activity</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pPr>
            <w:r>
              <w:rPr/>
              <w:t> </w:t>
            </w:r>
          </w:p>
        </w:tc>
        <w:tc>
          <w:tcPr>
            <w:tcW w:w="1192" w:type="dxa"/>
            <w:tcBorders/>
            <w:shd w:fill="FFFFFF" w:val="clear"/>
            <w:vAlign w:val="center"/>
          </w:tcPr>
          <w:p>
            <w:pPr>
              <w:pStyle w:val="TableContents"/>
              <w:bidi w:val="0"/>
              <w:spacing w:before="0" w:after="283"/>
              <w:jc w:val="right"/>
              <w:rPr/>
            </w:pPr>
            <w:r>
              <w:rPr/>
              <w:t> </w:t>
            </w:r>
          </w:p>
        </w:tc>
      </w:tr>
      <w:tr>
        <w:trPr/>
        <w:tc>
          <w:tcPr>
            <w:tcW w:w="6485" w:type="dxa"/>
            <w:tcBorders/>
            <w:shd w:fill="D5EAEA" w:val="clear"/>
            <w:vAlign w:val="center"/>
          </w:tcPr>
          <w:p>
            <w:pPr>
              <w:pStyle w:val="TableContents"/>
              <w:bidi w:val="0"/>
              <w:spacing w:before="0" w:after="283"/>
              <w:jc w:val="left"/>
              <w:rPr>
                <w:sz w:val="20"/>
              </w:rPr>
            </w:pPr>
            <w:r>
              <w:rPr>
                <w:sz w:val="20"/>
              </w:rPr>
              <w:t>Adjustment to goodwill</w:t>
            </w:r>
          </w:p>
        </w:tc>
        <w:tc>
          <w:tcPr>
            <w:tcW w:w="680" w:type="dxa"/>
            <w:tcBorders/>
            <w:shd w:fill="D5EAEA" w:val="clear"/>
            <w:vAlign w:val="center"/>
          </w:tcPr>
          <w:p>
            <w:pPr>
              <w:pStyle w:val="TableContents"/>
              <w:bidi w:val="0"/>
              <w:spacing w:before="0" w:after="283"/>
              <w:jc w:val="center"/>
              <w:rPr>
                <w:sz w:val="20"/>
              </w:rPr>
            </w:pPr>
            <w:r>
              <w:rPr>
                <w:sz w:val="20"/>
              </w:rPr>
              <w:t>14</w:t>
            </w:r>
          </w:p>
        </w:tc>
        <w:tc>
          <w:tcPr>
            <w:tcW w:w="1602" w:type="dxa"/>
            <w:tcBorders/>
            <w:shd w:fill="D5EAEA" w:val="clear"/>
            <w:vAlign w:val="center"/>
          </w:tcPr>
          <w:p>
            <w:pPr>
              <w:pStyle w:val="TableContents"/>
              <w:bidi w:val="0"/>
              <w:spacing w:before="0" w:after="283"/>
              <w:jc w:val="right"/>
              <w:rPr>
                <w:sz w:val="20"/>
              </w:rPr>
            </w:pPr>
            <w:r>
              <w:rPr>
                <w:sz w:val="20"/>
              </w:rPr>
              <w:t>42,615</w:t>
            </w:r>
          </w:p>
        </w:tc>
        <w:tc>
          <w:tcPr>
            <w:tcW w:w="1192" w:type="dxa"/>
            <w:tcBorders/>
            <w:shd w:fill="D5EAEA" w:val="clear"/>
            <w:vAlign w:val="center"/>
          </w:tcPr>
          <w:p>
            <w:pPr>
              <w:pStyle w:val="TableContents"/>
              <w:bidi w:val="0"/>
              <w:spacing w:before="0" w:after="283"/>
              <w:jc w:val="right"/>
              <w:rPr>
                <w:sz w:val="20"/>
              </w:rPr>
            </w:pPr>
            <w:r>
              <w:rPr>
                <w:sz w:val="20"/>
              </w:rPr>
              <w:t>(1,049)</w:t>
            </w:r>
          </w:p>
        </w:tc>
      </w:tr>
      <w:tr>
        <w:trPr/>
        <w:tc>
          <w:tcPr>
            <w:tcW w:w="6485" w:type="dxa"/>
            <w:tcBorders/>
            <w:shd w:fill="FFFFFF" w:val="clear"/>
            <w:vAlign w:val="center"/>
          </w:tcPr>
          <w:p>
            <w:pPr>
              <w:pStyle w:val="TableContents"/>
              <w:bidi w:val="0"/>
              <w:spacing w:before="0" w:after="283"/>
              <w:jc w:val="left"/>
              <w:rPr>
                <w:sz w:val="20"/>
              </w:rPr>
            </w:pPr>
            <w:r>
              <w:rPr>
                <w:sz w:val="20"/>
              </w:rPr>
              <w:t>Company Class A common shares issued</w:t>
            </w:r>
          </w:p>
        </w:tc>
        <w:tc>
          <w:tcPr>
            <w:tcW w:w="680" w:type="dxa"/>
            <w:tcBorders/>
            <w:shd w:fill="FFFFFF" w:val="clear"/>
            <w:vAlign w:val="center"/>
          </w:tcPr>
          <w:p>
            <w:pPr>
              <w:pStyle w:val="TableContents"/>
              <w:bidi w:val="0"/>
              <w:spacing w:before="0" w:after="283"/>
              <w:jc w:val="center"/>
              <w:rPr>
                <w:sz w:val="20"/>
              </w:rPr>
            </w:pPr>
            <w:r>
              <w:rPr>
                <w:sz w:val="20"/>
              </w:rPr>
              <w:t>29(b)</w:t>
            </w:r>
          </w:p>
        </w:tc>
        <w:tc>
          <w:tcPr>
            <w:tcW w:w="1602" w:type="dxa"/>
            <w:tcBorders/>
            <w:shd w:fill="FFFFFF" w:val="clear"/>
            <w:vAlign w:val="center"/>
          </w:tcPr>
          <w:p>
            <w:pPr>
              <w:pStyle w:val="TableContents"/>
              <w:bidi w:val="0"/>
              <w:spacing w:before="0" w:after="283"/>
              <w:jc w:val="right"/>
              <w:rPr>
                <w:sz w:val="20"/>
              </w:rPr>
            </w:pPr>
            <w:r>
              <w:rPr>
                <w:sz w:val="20"/>
              </w:rPr>
              <w:t>56,626</w:t>
            </w:r>
          </w:p>
        </w:tc>
        <w:tc>
          <w:tcPr>
            <w:tcW w:w="1192" w:type="dxa"/>
            <w:tcBorders/>
            <w:shd w:fill="FFFFFF" w:val="clear"/>
            <w:vAlign w:val="center"/>
          </w:tcPr>
          <w:p>
            <w:pPr>
              <w:pStyle w:val="TableContents"/>
              <w:bidi w:val="0"/>
              <w:spacing w:before="0" w:after="283"/>
              <w:jc w:val="right"/>
              <w:rPr>
                <w:sz w:val="20"/>
              </w:rPr>
            </w:pPr>
            <w:r>
              <w:rPr>
                <w:sz w:val="20"/>
              </w:rPr>
              <w:t>71,656</w:t>
            </w:r>
          </w:p>
        </w:tc>
      </w:tr>
      <w:tr>
        <w:trPr/>
        <w:tc>
          <w:tcPr>
            <w:tcW w:w="6485" w:type="dxa"/>
            <w:tcBorders/>
            <w:shd w:fill="D5EAEA" w:val="clear"/>
            <w:vAlign w:val="center"/>
          </w:tcPr>
          <w:p>
            <w:pPr>
              <w:pStyle w:val="TableContents"/>
              <w:bidi w:val="0"/>
              <w:spacing w:before="0" w:after="283"/>
              <w:jc w:val="left"/>
              <w:rPr>
                <w:sz w:val="20"/>
              </w:rPr>
            </w:pPr>
            <w:r>
              <w:rPr>
                <w:sz w:val="20"/>
              </w:rPr>
              <w:t>Additions to and disposal of right-of-use</w:t>
            </w:r>
          </w:p>
        </w:tc>
        <w:tc>
          <w:tcPr>
            <w:tcW w:w="680" w:type="dxa"/>
            <w:tcBorders/>
            <w:shd w:fill="D5EAEA" w:val="clear"/>
            <w:vAlign w:val="center"/>
          </w:tcPr>
          <w:p>
            <w:pPr>
              <w:pStyle w:val="TableContents"/>
              <w:bidi w:val="0"/>
              <w:spacing w:before="0" w:after="283"/>
              <w:jc w:val="center"/>
              <w:rPr>
                <w:sz w:val="20"/>
              </w:rPr>
            </w:pPr>
            <w:r>
              <w:rPr>
                <w:sz w:val="20"/>
              </w:rPr>
              <w:t>13</w:t>
            </w:r>
          </w:p>
        </w:tc>
        <w:tc>
          <w:tcPr>
            <w:tcW w:w="1602" w:type="dxa"/>
            <w:tcBorders/>
            <w:shd w:fill="D5EAEA" w:val="clear"/>
            <w:vAlign w:val="center"/>
          </w:tcPr>
          <w:p>
            <w:pPr>
              <w:pStyle w:val="TableContents"/>
              <w:bidi w:val="0"/>
              <w:spacing w:before="0" w:after="283"/>
              <w:jc w:val="right"/>
              <w:rPr>
                <w:sz w:val="20"/>
              </w:rPr>
            </w:pPr>
            <w:r>
              <w:rPr>
                <w:sz w:val="20"/>
              </w:rPr>
              <w:t>1,693</w:t>
            </w:r>
          </w:p>
        </w:tc>
        <w:tc>
          <w:tcPr>
            <w:tcW w:w="1192" w:type="dxa"/>
            <w:tcBorders/>
            <w:shd w:fill="D5EAEA" w:val="clear"/>
            <w:vAlign w:val="center"/>
          </w:tcPr>
          <w:p>
            <w:pPr>
              <w:pStyle w:val="TableContents"/>
              <w:bidi w:val="0"/>
              <w:spacing w:before="0" w:after="283"/>
              <w:jc w:val="right"/>
              <w:rPr>
                <w:sz w:val="20"/>
              </w:rPr>
            </w:pPr>
            <w:r>
              <w:rPr>
                <w:sz w:val="20"/>
              </w:rPr>
              <w:t>1,611</w:t>
            </w:r>
          </w:p>
        </w:tc>
      </w:tr>
      <w:tr>
        <w:trPr/>
        <w:tc>
          <w:tcPr>
            <w:tcW w:w="6485" w:type="dxa"/>
            <w:tcBorders/>
            <w:shd w:fill="FFFFFF" w:val="clear"/>
            <w:vAlign w:val="center"/>
          </w:tcPr>
          <w:p>
            <w:pPr>
              <w:pStyle w:val="TableContents"/>
              <w:bidi w:val="0"/>
              <w:spacing w:before="0" w:after="283"/>
              <w:jc w:val="left"/>
              <w:rPr>
                <w:sz w:val="20"/>
              </w:rPr>
            </w:pPr>
            <w:r>
              <w:rPr>
                <w:sz w:val="20"/>
              </w:rPr>
              <w:t>Gross obligation adjustments</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w:t>
            </w:r>
          </w:p>
        </w:tc>
        <w:tc>
          <w:tcPr>
            <w:tcW w:w="1192" w:type="dxa"/>
            <w:tcBorders/>
            <w:shd w:fill="FFFFFF" w:val="clear"/>
            <w:vAlign w:val="center"/>
          </w:tcPr>
          <w:p>
            <w:pPr>
              <w:pStyle w:val="TableContents"/>
              <w:bidi w:val="0"/>
              <w:spacing w:before="0" w:after="283"/>
              <w:jc w:val="right"/>
              <w:rPr>
                <w:sz w:val="20"/>
              </w:rPr>
            </w:pPr>
            <w:r>
              <w:rPr>
                <w:sz w:val="20"/>
              </w:rPr>
              <w:t>2,156</w:t>
            </w:r>
          </w:p>
        </w:tc>
      </w:tr>
      <w:tr>
        <w:trPr/>
        <w:tc>
          <w:tcPr>
            <w:tcW w:w="6485" w:type="dxa"/>
            <w:tcBorders/>
            <w:shd w:fill="D5EAEA" w:val="clear"/>
            <w:vAlign w:val="center"/>
          </w:tcPr>
          <w:p>
            <w:pPr>
              <w:pStyle w:val="TableContents"/>
              <w:bidi w:val="0"/>
              <w:spacing w:before="0" w:after="283"/>
              <w:jc w:val="left"/>
              <w:rPr>
                <w:sz w:val="20"/>
              </w:rPr>
            </w:pPr>
            <w:r>
              <w:rPr>
                <w:sz w:val="20"/>
              </w:rPr>
              <w:t>Consideration payable from acquisitions</w:t>
            </w:r>
          </w:p>
        </w:tc>
        <w:tc>
          <w:tcPr>
            <w:tcW w:w="680" w:type="dxa"/>
            <w:tcBorders/>
            <w:shd w:fill="D5EAEA" w:val="clear"/>
            <w:vAlign w:val="center"/>
          </w:tcPr>
          <w:p>
            <w:pPr>
              <w:pStyle w:val="TableContents"/>
              <w:bidi w:val="0"/>
              <w:spacing w:before="0" w:after="283"/>
              <w:jc w:val="center"/>
              <w:rPr>
                <w:sz w:val="20"/>
              </w:rPr>
            </w:pPr>
            <w:r>
              <w:rPr>
                <w:sz w:val="20"/>
              </w:rPr>
              <w:t>30</w:t>
            </w:r>
          </w:p>
        </w:tc>
        <w:tc>
          <w:tcPr>
            <w:tcW w:w="1602" w:type="dxa"/>
            <w:tcBorders/>
            <w:shd w:fill="D5EAEA" w:val="clear"/>
            <w:vAlign w:val="center"/>
          </w:tcPr>
          <w:p>
            <w:pPr>
              <w:pStyle w:val="TableContents"/>
              <w:bidi w:val="0"/>
              <w:spacing w:before="0" w:after="283"/>
              <w:jc w:val="right"/>
              <w:rPr>
                <w:sz w:val="20"/>
              </w:rPr>
            </w:pPr>
            <w:r>
              <w:rPr>
                <w:sz w:val="20"/>
              </w:rPr>
              <w:t>96,013</w:t>
            </w:r>
          </w:p>
        </w:tc>
        <w:tc>
          <w:tcPr>
            <w:tcW w:w="1192" w:type="dxa"/>
            <w:tcBorders/>
            <w:shd w:fill="D5EAEA" w:val="clear"/>
            <w:vAlign w:val="center"/>
          </w:tcPr>
          <w:p>
            <w:pPr>
              <w:pStyle w:val="TableContents"/>
              <w:bidi w:val="0"/>
              <w:spacing w:before="0" w:after="283"/>
              <w:jc w:val="right"/>
              <w:rPr>
                <w:sz w:val="20"/>
              </w:rPr>
            </w:pPr>
            <w:r>
              <w:rPr>
                <w:sz w:val="20"/>
              </w:rPr>
              <w:t>-</w:t>
            </w:r>
          </w:p>
        </w:tc>
      </w:tr>
      <w:tr>
        <w:trPr/>
        <w:tc>
          <w:tcPr>
            <w:tcW w:w="6485" w:type="dxa"/>
            <w:tcBorders/>
            <w:shd w:fill="FFFFFF" w:val="clear"/>
            <w:vAlign w:val="center"/>
          </w:tcPr>
          <w:p>
            <w:pPr>
              <w:pStyle w:val="TableContents"/>
              <w:bidi w:val="0"/>
              <w:spacing w:before="0" w:after="283"/>
              <w:jc w:val="left"/>
              <w:rPr>
                <w:sz w:val="20"/>
              </w:rPr>
            </w:pPr>
            <w:r>
              <w:rPr>
                <w:sz w:val="20"/>
              </w:rPr>
              <w:t>Contingent consideration payable from acquisition</w:t>
            </w:r>
          </w:p>
        </w:tc>
        <w:tc>
          <w:tcPr>
            <w:tcW w:w="680" w:type="dxa"/>
            <w:tcBorders/>
            <w:shd w:fill="FFFFFF" w:val="clear"/>
            <w:vAlign w:val="center"/>
          </w:tcPr>
          <w:p>
            <w:pPr>
              <w:pStyle w:val="TableContents"/>
              <w:bidi w:val="0"/>
              <w:spacing w:before="0" w:after="283"/>
              <w:jc w:val="center"/>
              <w:rPr>
                <w:sz w:val="20"/>
              </w:rPr>
            </w:pPr>
            <w:r>
              <w:rPr>
                <w:sz w:val="20"/>
              </w:rPr>
              <w:t>30</w:t>
            </w:r>
          </w:p>
        </w:tc>
        <w:tc>
          <w:tcPr>
            <w:tcW w:w="1602" w:type="dxa"/>
            <w:tcBorders/>
            <w:shd w:fill="FFFFFF" w:val="clear"/>
            <w:vAlign w:val="center"/>
          </w:tcPr>
          <w:p>
            <w:pPr>
              <w:pStyle w:val="TableContents"/>
              <w:bidi w:val="0"/>
              <w:spacing w:before="0" w:after="283"/>
              <w:jc w:val="right"/>
              <w:rPr>
                <w:sz w:val="20"/>
              </w:rPr>
            </w:pPr>
            <w:r>
              <w:rPr>
                <w:sz w:val="20"/>
              </w:rPr>
              <w:t>11,651</w:t>
            </w:r>
          </w:p>
        </w:tc>
        <w:tc>
          <w:tcPr>
            <w:tcW w:w="1192" w:type="dxa"/>
            <w:tcBorders/>
            <w:shd w:fill="FFFFFF" w:val="clear"/>
            <w:vAlign w:val="center"/>
          </w:tcPr>
          <w:p>
            <w:pPr>
              <w:pStyle w:val="TableContents"/>
              <w:bidi w:val="0"/>
              <w:spacing w:before="0" w:after="283"/>
              <w:jc w:val="right"/>
              <w:rPr>
                <w:sz w:val="20"/>
              </w:rPr>
            </w:pPr>
            <w:r>
              <w:rPr>
                <w:sz w:val="20"/>
              </w:rPr>
              <w:t>-</w:t>
            </w:r>
          </w:p>
        </w:tc>
      </w:tr>
      <w:tr>
        <w:trPr/>
        <w:tc>
          <w:tcPr>
            <w:tcW w:w="6485" w:type="dxa"/>
            <w:tcBorders/>
            <w:shd w:fill="D5EAEA" w:val="clear"/>
            <w:vAlign w:val="center"/>
          </w:tcPr>
          <w:p>
            <w:pPr>
              <w:pStyle w:val="TableContents"/>
              <w:bidi w:val="0"/>
              <w:spacing w:before="0" w:after="283"/>
              <w:jc w:val="left"/>
              <w:rPr>
                <w:sz w:val="20"/>
              </w:rPr>
            </w:pPr>
            <w:r>
              <w:rPr>
                <w:sz w:val="20"/>
              </w:rPr>
              <w:t>Deferred consideration from acquisition</w:t>
            </w:r>
          </w:p>
        </w:tc>
        <w:tc>
          <w:tcPr>
            <w:tcW w:w="680" w:type="dxa"/>
            <w:tcBorders/>
            <w:shd w:fill="D5EAEA" w:val="clear"/>
            <w:vAlign w:val="center"/>
          </w:tcPr>
          <w:p>
            <w:pPr>
              <w:pStyle w:val="TableContents"/>
              <w:bidi w:val="0"/>
              <w:spacing w:before="0" w:after="283"/>
              <w:jc w:val="center"/>
              <w:rPr>
                <w:sz w:val="20"/>
              </w:rPr>
            </w:pPr>
            <w:r>
              <w:rPr>
                <w:sz w:val="20"/>
              </w:rPr>
              <w:t>30</w:t>
            </w:r>
          </w:p>
        </w:tc>
        <w:tc>
          <w:tcPr>
            <w:tcW w:w="1602" w:type="dxa"/>
            <w:tcBorders/>
            <w:shd w:fill="D5EAEA" w:val="clear"/>
            <w:vAlign w:val="center"/>
          </w:tcPr>
          <w:p>
            <w:pPr>
              <w:pStyle w:val="TableContents"/>
              <w:bidi w:val="0"/>
              <w:spacing w:before="0" w:after="283"/>
              <w:jc w:val="right"/>
              <w:rPr>
                <w:sz w:val="20"/>
              </w:rPr>
            </w:pPr>
            <w:r>
              <w:rPr>
                <w:sz w:val="20"/>
              </w:rPr>
              <w:t>7,939</w:t>
            </w:r>
          </w:p>
        </w:tc>
        <w:tc>
          <w:tcPr>
            <w:tcW w:w="1192" w:type="dxa"/>
            <w:tcBorders/>
            <w:shd w:fill="D5EAEA" w:val="clear"/>
            <w:vAlign w:val="center"/>
          </w:tcPr>
          <w:p>
            <w:pPr>
              <w:pStyle w:val="TableContents"/>
              <w:bidi w:val="0"/>
              <w:spacing w:before="0" w:after="283"/>
              <w:jc w:val="right"/>
              <w:rPr/>
            </w:pPr>
            <w:r>
              <w:rPr/>
              <w:t> </w:t>
            </w:r>
          </w:p>
        </w:tc>
      </w:tr>
      <w:tr>
        <w:trPr/>
        <w:tc>
          <w:tcPr>
            <w:tcW w:w="6485" w:type="dxa"/>
            <w:tcBorders/>
            <w:shd w:fill="FFFFFF" w:val="clear"/>
            <w:vAlign w:val="center"/>
          </w:tcPr>
          <w:p>
            <w:pPr>
              <w:pStyle w:val="TableContents"/>
              <w:bidi w:val="0"/>
              <w:spacing w:before="0" w:after="283"/>
              <w:jc w:val="left"/>
              <w:rPr>
                <w:sz w:val="20"/>
              </w:rPr>
            </w:pPr>
            <w:r>
              <w:rPr>
                <w:sz w:val="20"/>
              </w:rPr>
              <w:t>NCI recognized in business combination</w:t>
            </w:r>
          </w:p>
        </w:tc>
        <w:tc>
          <w:tcPr>
            <w:tcW w:w="680" w:type="dxa"/>
            <w:tcBorders/>
            <w:shd w:fill="FFFFFF" w:val="clear"/>
            <w:vAlign w:val="center"/>
          </w:tcPr>
          <w:p>
            <w:pPr>
              <w:pStyle w:val="TableContents"/>
              <w:bidi w:val="0"/>
              <w:spacing w:before="0" w:after="283"/>
              <w:jc w:val="center"/>
              <w:rPr>
                <w:sz w:val="20"/>
              </w:rPr>
            </w:pPr>
            <w:r>
              <w:rPr>
                <w:sz w:val="20"/>
              </w:rPr>
              <w:t>30</w:t>
            </w:r>
          </w:p>
        </w:tc>
        <w:tc>
          <w:tcPr>
            <w:tcW w:w="1602" w:type="dxa"/>
            <w:tcBorders/>
            <w:shd w:fill="FFFFFF" w:val="clear"/>
            <w:vAlign w:val="center"/>
          </w:tcPr>
          <w:p>
            <w:pPr>
              <w:pStyle w:val="TableContents"/>
              <w:bidi w:val="0"/>
              <w:spacing w:before="0" w:after="283"/>
              <w:jc w:val="right"/>
              <w:rPr>
                <w:sz w:val="20"/>
              </w:rPr>
            </w:pPr>
            <w:r>
              <w:rPr>
                <w:sz w:val="20"/>
              </w:rPr>
              <w:t>32,380</w:t>
            </w:r>
          </w:p>
        </w:tc>
        <w:tc>
          <w:tcPr>
            <w:tcW w:w="1192" w:type="dxa"/>
            <w:tcBorders/>
            <w:shd w:fill="FFFFFF" w:val="clear"/>
            <w:vAlign w:val="center"/>
          </w:tcPr>
          <w:p>
            <w:pPr>
              <w:pStyle w:val="TableContents"/>
              <w:bidi w:val="0"/>
              <w:spacing w:before="0" w:after="283"/>
              <w:jc w:val="right"/>
              <w:rPr>
                <w:sz w:val="20"/>
              </w:rPr>
            </w:pPr>
            <w:r>
              <w:rPr>
                <w:sz w:val="20"/>
              </w:rPr>
              <w:t>-</w:t>
            </w:r>
          </w:p>
        </w:tc>
      </w:tr>
      <w:tr>
        <w:trPr/>
        <w:tc>
          <w:tcPr>
            <w:tcW w:w="6485" w:type="dxa"/>
            <w:tcBorders/>
            <w:shd w:fill="D5EAEA" w:val="clear"/>
            <w:vAlign w:val="center"/>
          </w:tcPr>
          <w:p>
            <w:pPr>
              <w:pStyle w:val="TableContents"/>
              <w:bidi w:val="0"/>
              <w:spacing w:before="0" w:after="283"/>
              <w:jc w:val="left"/>
              <w:rPr>
                <w:sz w:val="20"/>
              </w:rPr>
            </w:pPr>
            <w:r>
              <w:rPr>
                <w:sz w:val="20"/>
              </w:rPr>
              <w:t>Gross obligation under put option recognized</w:t>
            </w:r>
          </w:p>
        </w:tc>
        <w:tc>
          <w:tcPr>
            <w:tcW w:w="680" w:type="dxa"/>
            <w:tcBorders/>
            <w:shd w:fill="D5EAEA" w:val="clear"/>
            <w:vAlign w:val="center"/>
          </w:tcPr>
          <w:p>
            <w:pPr>
              <w:pStyle w:val="TableContents"/>
              <w:bidi w:val="0"/>
              <w:spacing w:before="0" w:after="283"/>
              <w:jc w:val="center"/>
              <w:rPr>
                <w:sz w:val="20"/>
              </w:rPr>
            </w:pPr>
            <w:r>
              <w:rPr>
                <w:sz w:val="20"/>
              </w:rPr>
              <w:t>21 (c)</w:t>
            </w:r>
          </w:p>
        </w:tc>
        <w:tc>
          <w:tcPr>
            <w:tcW w:w="1602" w:type="dxa"/>
            <w:tcBorders/>
            <w:shd w:fill="D5EAEA" w:val="clear"/>
            <w:vAlign w:val="center"/>
          </w:tcPr>
          <w:p>
            <w:pPr>
              <w:pStyle w:val="TableContents"/>
              <w:bidi w:val="0"/>
              <w:spacing w:before="0" w:after="283"/>
              <w:jc w:val="right"/>
              <w:rPr>
                <w:sz w:val="20"/>
              </w:rPr>
            </w:pPr>
            <w:r>
              <w:rPr>
                <w:sz w:val="20"/>
              </w:rPr>
              <w:t>32,403</w:t>
            </w:r>
          </w:p>
        </w:tc>
        <w:tc>
          <w:tcPr>
            <w:tcW w:w="1192" w:type="dxa"/>
            <w:tcBorders/>
            <w:shd w:fill="D5EAEA" w:val="clear"/>
            <w:vAlign w:val="center"/>
          </w:tcPr>
          <w:p>
            <w:pPr>
              <w:pStyle w:val="TableContents"/>
              <w:bidi w:val="0"/>
              <w:spacing w:before="0" w:after="283"/>
              <w:jc w:val="right"/>
              <w:rPr>
                <w:sz w:val="20"/>
              </w:rPr>
            </w:pPr>
            <w:r>
              <w:rPr>
                <w:sz w:val="20"/>
              </w:rPr>
              <w:t>-</w:t>
            </w:r>
          </w:p>
        </w:tc>
      </w:tr>
      <w:tr>
        <w:trPr/>
        <w:tc>
          <w:tcPr>
            <w:tcW w:w="6485" w:type="dxa"/>
            <w:tcBorders/>
            <w:shd w:fill="FFFFFF" w:val="clear"/>
            <w:vAlign w:val="center"/>
          </w:tcPr>
          <w:p>
            <w:pPr>
              <w:pStyle w:val="TableContents"/>
              <w:bidi w:val="0"/>
              <w:spacing w:before="0" w:after="283"/>
              <w:jc w:val="left"/>
              <w:rPr>
                <w:sz w:val="20"/>
              </w:rPr>
            </w:pPr>
            <w:r>
              <w:rPr>
                <w:sz w:val="20"/>
              </w:rPr>
              <w:t>Interest earned on SPAC trust account subject to redemption</w:t>
            </w:r>
          </w:p>
        </w:tc>
        <w:tc>
          <w:tcPr>
            <w:tcW w:w="680" w:type="dxa"/>
            <w:tcBorders/>
            <w:shd w:fill="FFFFFF" w:val="clear"/>
            <w:vAlign w:val="center"/>
          </w:tcPr>
          <w:p>
            <w:pPr>
              <w:pStyle w:val="TableContents"/>
              <w:bidi w:val="0"/>
              <w:spacing w:before="0" w:after="283"/>
              <w:jc w:val="center"/>
              <w:rPr/>
            </w:pPr>
            <w:r>
              <w:rPr/>
              <w:t> </w:t>
            </w:r>
          </w:p>
        </w:tc>
        <w:tc>
          <w:tcPr>
            <w:tcW w:w="1602" w:type="dxa"/>
            <w:tcBorders/>
            <w:shd w:fill="FFFFFF" w:val="clear"/>
            <w:vAlign w:val="center"/>
          </w:tcPr>
          <w:p>
            <w:pPr>
              <w:pStyle w:val="TableContents"/>
              <w:bidi w:val="0"/>
              <w:spacing w:before="0" w:after="283"/>
              <w:jc w:val="right"/>
              <w:rPr>
                <w:sz w:val="20"/>
              </w:rPr>
            </w:pPr>
            <w:r>
              <w:rPr>
                <w:sz w:val="20"/>
              </w:rPr>
              <w:t>-</w:t>
            </w:r>
          </w:p>
        </w:tc>
        <w:tc>
          <w:tcPr>
            <w:tcW w:w="1192" w:type="dxa"/>
            <w:tcBorders/>
            <w:shd w:fill="FFFFFF" w:val="clear"/>
            <w:vAlign w:val="center"/>
          </w:tcPr>
          <w:p>
            <w:pPr>
              <w:pStyle w:val="TableContents"/>
              <w:bidi w:val="0"/>
              <w:spacing w:before="0" w:after="283"/>
              <w:jc w:val="right"/>
              <w:rPr>
                <w:sz w:val="20"/>
              </w:rPr>
            </w:pPr>
            <w:r>
              <w:rPr>
                <w:sz w:val="20"/>
              </w:rPr>
              <w:t>1,123</w:t>
            </w:r>
          </w:p>
        </w:tc>
      </w:tr>
      <w:tr>
        <w:trPr/>
        <w:tc>
          <w:tcPr>
            <w:tcW w:w="6485" w:type="dxa"/>
            <w:tcBorders/>
            <w:shd w:fill="D5EAEA" w:val="clear"/>
            <w:vAlign w:val="center"/>
          </w:tcPr>
          <w:p>
            <w:pPr>
              <w:pStyle w:val="TableContents"/>
              <w:bidi w:val="0"/>
              <w:spacing w:before="0" w:after="283"/>
              <w:jc w:val="left"/>
              <w:rPr>
                <w:sz w:val="20"/>
              </w:rPr>
            </w:pPr>
            <w:r>
              <w:rPr>
                <w:sz w:val="20"/>
              </w:rPr>
              <w:t>Increase in deferred tax liability and corresponding increase in goodwill</w:t>
            </w:r>
          </w:p>
        </w:tc>
        <w:tc>
          <w:tcPr>
            <w:tcW w:w="680" w:type="dxa"/>
            <w:tcBorders/>
            <w:shd w:fill="D5EAEA" w:val="clear"/>
            <w:vAlign w:val="center"/>
          </w:tcPr>
          <w:p>
            <w:pPr>
              <w:pStyle w:val="TableContents"/>
              <w:bidi w:val="0"/>
              <w:spacing w:before="0" w:after="283"/>
              <w:jc w:val="center"/>
              <w:rPr>
                <w:sz w:val="20"/>
              </w:rPr>
            </w:pPr>
            <w:r>
              <w:rPr>
                <w:sz w:val="20"/>
              </w:rPr>
              <w:t>14(d)</w:t>
            </w:r>
          </w:p>
        </w:tc>
        <w:tc>
          <w:tcPr>
            <w:tcW w:w="1602" w:type="dxa"/>
            <w:tcBorders/>
            <w:shd w:fill="D5EAEA" w:val="clear"/>
            <w:vAlign w:val="center"/>
          </w:tcPr>
          <w:p>
            <w:pPr>
              <w:pStyle w:val="TableContents"/>
              <w:bidi w:val="0"/>
              <w:spacing w:before="0" w:after="283"/>
              <w:jc w:val="right"/>
              <w:rPr>
                <w:sz w:val="20"/>
              </w:rPr>
            </w:pPr>
            <w:r>
              <w:rPr>
                <w:sz w:val="20"/>
              </w:rPr>
              <w:t>-</w:t>
            </w:r>
          </w:p>
        </w:tc>
        <w:tc>
          <w:tcPr>
            <w:tcW w:w="1192" w:type="dxa"/>
            <w:tcBorders/>
            <w:shd w:fill="D5EAEA" w:val="clear"/>
            <w:vAlign w:val="center"/>
          </w:tcPr>
          <w:p>
            <w:pPr>
              <w:pStyle w:val="TableContents"/>
              <w:bidi w:val="0"/>
              <w:spacing w:before="0" w:after="283"/>
              <w:jc w:val="right"/>
              <w:rPr>
                <w:sz w:val="20"/>
              </w:rPr>
            </w:pPr>
            <w:r>
              <w:rPr>
                <w:sz w:val="20"/>
              </w:rPr>
              <w:t>58,230</w:t>
            </w:r>
          </w:p>
        </w:tc>
      </w:tr>
    </w:tbl>
    <w:p>
      <w:pPr>
        <w:pStyle w:val="TextBody"/>
        <w:bidi w:val="0"/>
        <w:spacing w:before="0" w:after="0"/>
        <w:ind w:left="0" w:right="0" w:hanging="0"/>
        <w:jc w:val="left"/>
        <w:rPr>
          <w:sz w:val="20"/>
        </w:rPr>
      </w:pPr>
      <w:r>
        <w:rPr>
          <w:sz w:val="20"/>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15"/>
        <w:gridCol w:w="1940"/>
      </w:tblGrid>
      <w:tr>
        <w:trPr/>
        <w:tc>
          <w:tcPr>
            <w:tcW w:w="215" w:type="dxa"/>
            <w:tcBorders/>
            <w:vAlign w:val="center"/>
          </w:tcPr>
          <w:p>
            <w:pPr>
              <w:pStyle w:val="TableContents"/>
              <w:bidi w:val="0"/>
              <w:spacing w:before="0" w:after="283"/>
              <w:jc w:val="left"/>
              <w:rPr/>
            </w:pPr>
            <w:r>
              <w:rPr/>
              <w:t>1.</w:t>
            </w:r>
          </w:p>
        </w:tc>
        <w:tc>
          <w:tcPr>
            <w:tcW w:w="1940" w:type="dxa"/>
            <w:tcBorders/>
            <w:vAlign w:val="center"/>
          </w:tcPr>
          <w:p>
            <w:pPr>
              <w:pStyle w:val="TableContents"/>
              <w:bidi w:val="0"/>
              <w:spacing w:before="0" w:after="283"/>
              <w:jc w:val="left"/>
              <w:rPr/>
            </w:pPr>
            <w:r>
              <w:rPr/>
              <w:t>General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Patria Investments Limited (“Patria”) is a public holding company headquartered in the Cayman Islands. Patria’s shares trade on the Nasdaq Global Select Market under the ticker PAX. It is controlled by Patria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Patria and its subsidiaries (the “Company”) is a global alternative investment firm focused on middle-market opportunities in resilient sectors, offering strategies across private equity, infrastructure, credit, real estate, and public equities. These strategies are delivered through multiple structures, including closed-end and open-end funds, permanent capital vehicles, interval funds, and separately managed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investment offices across Latin America and Europe, including Montevideo, São Paulo, Bogotá, Medellín, Edinburgh, and Santiago. It also maintains client-coverage offices in major global financial centers—New York, London, Dubai, and Hong Kong—alongside its corporate office in Grand Cayman,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consolidated annual financial statements of the Company as at and for the year ended 31 December 2025 are available on the Company’s website.</w:t>
      </w:r>
    </w:p>
    <w:p>
      <w:pPr>
        <w:pStyle w:val="TextBody"/>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15"/>
        <w:gridCol w:w="3350"/>
      </w:tblGrid>
      <w:tr>
        <w:trPr/>
        <w:tc>
          <w:tcPr>
            <w:tcW w:w="215" w:type="dxa"/>
            <w:tcBorders/>
            <w:vAlign w:val="center"/>
          </w:tcPr>
          <w:p>
            <w:pPr>
              <w:pStyle w:val="TableContents"/>
              <w:bidi w:val="0"/>
              <w:spacing w:before="0" w:after="283"/>
              <w:jc w:val="left"/>
              <w:rPr/>
            </w:pPr>
            <w:r>
              <w:rPr/>
              <w:t>2.</w:t>
            </w:r>
          </w:p>
        </w:tc>
        <w:tc>
          <w:tcPr>
            <w:tcW w:w="3350" w:type="dxa"/>
            <w:tcBorders/>
            <w:vAlign w:val="center"/>
          </w:tcPr>
          <w:p>
            <w:pPr>
              <w:pStyle w:val="TableContents"/>
              <w:bidi w:val="0"/>
              <w:spacing w:before="0" w:after="283"/>
              <w:jc w:val="left"/>
              <w:rPr/>
            </w:pPr>
            <w:r>
              <w:rPr/>
              <w:t>Presentation of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86"/>
        <w:gridCol w:w="9746"/>
      </w:tblGrid>
      <w:tr>
        <w:trPr/>
        <w:tc>
          <w:tcPr>
            <w:tcW w:w="7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b/>
                <w:caps w:val="false"/>
                <w:smallCaps w:val="false"/>
              </w:rPr>
              <w:t>a</w:t>
            </w:r>
            <w:r>
              <w:rPr>
                <w:b/>
                <w:smallCaps/>
              </w:rPr>
              <w:t>.</w:t>
            </w:r>
          </w:p>
        </w:tc>
        <w:tc>
          <w:tcPr>
            <w:tcW w:w="9746" w:type="dxa"/>
            <w:tcBorders/>
            <w:vAlign w:val="center"/>
          </w:tcPr>
          <w:p>
            <w:pPr>
              <w:pStyle w:val="TableContents"/>
              <w:bidi w:val="0"/>
              <w:spacing w:before="0" w:after="283"/>
              <w:jc w:val="left"/>
              <w:rPr>
                <w:b/>
              </w:rPr>
            </w:pPr>
            <w:r>
              <w:rPr>
                <w:b/>
              </w:rPr>
              <w:t>Statement of compliance and basis of preparation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interim financial statements were prepared in accordance with IAS 34 - Interim Financial Reporting issued by the International Accounting Standards Board ("IASB"). These unaudited condensed consolidated interim financial statements should be read together with the consolidated financial statements as of and for the years ended December 31, 2025, 2024 and 2023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are consistent with those of the previous financial year and corresponding interim reporting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interim financial statements are presented in United States dollars (USD), the functional currency of the Company and all amounts are rounded to the nearest thousand USD, unless otherwise stated.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the unaudited condensed consolidated interim financial statements on October 6, 2026.</w:t>
      </w:r>
    </w:p>
    <w:p>
      <w:pPr>
        <w:pStyle w:val="TextBody"/>
        <w:bidi w:val="0"/>
        <w:spacing w:before="0" w:after="0"/>
        <w:ind w:left="360"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15"/>
        <w:gridCol w:w="2015"/>
      </w:tblGrid>
      <w:tr>
        <w:trPr/>
        <w:tc>
          <w:tcPr>
            <w:tcW w:w="215" w:type="dxa"/>
            <w:tcBorders/>
            <w:vAlign w:val="center"/>
          </w:tcPr>
          <w:p>
            <w:pPr>
              <w:pStyle w:val="TableContents"/>
              <w:bidi w:val="0"/>
              <w:spacing w:before="0" w:after="283"/>
              <w:jc w:val="left"/>
              <w:rPr/>
            </w:pPr>
            <w:r>
              <w:rPr/>
              <w:t>3.</w:t>
            </w:r>
          </w:p>
        </w:tc>
        <w:tc>
          <w:tcPr>
            <w:tcW w:w="2015" w:type="dxa"/>
            <w:tcBorders/>
            <w:vAlign w:val="center"/>
          </w:tcPr>
          <w:p>
            <w:pPr>
              <w:pStyle w:val="TableContents"/>
              <w:bidi w:val="0"/>
              <w:spacing w:before="0" w:after="283"/>
              <w:jc w:val="left"/>
              <w:rPr/>
            </w:pPr>
            <w:r>
              <w:rPr/>
              <w:t>Segment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through a single reportable operating segment, namely asset management. The Company’s executive directors collectively function as the Chief Operating Decision Maker (“CODM”), responsible for allocating resources and assessing performance that is in line with the Company’s global strategy, which is based on six verticals: private equity, infrastructure, credit, public equities, real estate and global private markets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15"/>
        <w:gridCol w:w="2690"/>
      </w:tblGrid>
      <w:tr>
        <w:trPr/>
        <w:tc>
          <w:tcPr>
            <w:tcW w:w="215" w:type="dxa"/>
            <w:tcBorders/>
            <w:vAlign w:val="center"/>
          </w:tcPr>
          <w:p>
            <w:pPr>
              <w:pStyle w:val="TableContents"/>
              <w:bidi w:val="0"/>
              <w:spacing w:before="0" w:after="283"/>
              <w:jc w:val="left"/>
              <w:rPr/>
            </w:pPr>
            <w:r>
              <w:rPr/>
              <w:t>4.</w:t>
            </w:r>
          </w:p>
        </w:tc>
        <w:tc>
          <w:tcPr>
            <w:tcW w:w="2690" w:type="dxa"/>
            <w:tcBorders/>
            <w:vAlign w:val="center"/>
          </w:tcPr>
          <w:p>
            <w:pPr>
              <w:pStyle w:val="TableContents"/>
              <w:bidi w:val="0"/>
              <w:spacing w:before="0" w:after="283"/>
              <w:jc w:val="left"/>
              <w:rPr/>
            </w:pPr>
            <w:r>
              <w:rPr/>
              <w:t>Material accounting policies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interim financial statements were prepared in accordance with policies, accounting practices, and methods for determining estimates consistent to the accounting policies and estimates adopted in the preparation of the annual Consolidated Financial Statements for the year ended December 31, 2025. The Company has not early adopted any standard, interpretation or amendment that has been issued but is not yet effective. Amendments applicable for the first time in 2026 do not have a material impact on the unaudited condensed consolidated interim financial statements of the Company.</w:t>
      </w:r>
    </w:p>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283"/>
              <w:jc w:val="left"/>
              <w:rPr/>
            </w:pPr>
            <w:r>
              <w:rPr/>
              <w:t>5.</w:t>
            </w:r>
          </w:p>
        </w:tc>
        <w:tc>
          <w:tcPr>
            <w:tcW w:w="1490" w:type="dxa"/>
            <w:tcBorders/>
            <w:vAlign w:val="center"/>
          </w:tcPr>
          <w:p>
            <w:pPr>
              <w:pStyle w:val="TableContents"/>
              <w:bidi w:val="0"/>
              <w:spacing w:before="0" w:after="283"/>
              <w:jc w:val="left"/>
              <w:rPr/>
            </w:pPr>
            <w:r>
              <w:rPr/>
              <w:t>Legal Structure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and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interim financial statements include the entities listed below, which are the Company's direct or indirect subsidiaries: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53"/>
        <w:gridCol w:w="60"/>
        <w:gridCol w:w="1454"/>
        <w:gridCol w:w="1595"/>
        <w:gridCol w:w="1269"/>
        <w:gridCol w:w="774"/>
        <w:gridCol w:w="1700"/>
      </w:tblGrid>
      <w:tr>
        <w:trPr/>
        <w:tc>
          <w:tcPr>
            <w:tcW w:w="3353" w:type="dxa"/>
            <w:tcBorders>
              <w:bottom w:val="single" w:sz="8" w:space="0" w:color="000000"/>
            </w:tcBorders>
            <w:vAlign w:val="center"/>
          </w:tcPr>
          <w:p>
            <w:pPr>
              <w:pStyle w:val="TableContents"/>
              <w:bidi w:val="0"/>
              <w:spacing w:before="0" w:after="283"/>
              <w:jc w:val="left"/>
              <w:rPr>
                <w:b/>
                <w:sz w:val="20"/>
              </w:rPr>
            </w:pPr>
            <w:r>
              <w:rPr>
                <w:b/>
                <w:sz w:val="20"/>
              </w:rPr>
              <w:t>Subsidiaries</w:t>
            </w:r>
          </w:p>
        </w:tc>
        <w:tc>
          <w:tcPr>
            <w:tcW w:w="60" w:type="dxa"/>
            <w:tcBorders/>
            <w:tcMar>
              <w:bottom w:w="0" w:type="dxa"/>
            </w:tcMar>
            <w:vAlign w:val="center"/>
          </w:tcPr>
          <w:p>
            <w:pPr>
              <w:pStyle w:val="TableContents"/>
              <w:bidi w:val="0"/>
              <w:spacing w:before="0" w:after="283"/>
              <w:jc w:val="left"/>
              <w:rPr/>
            </w:pPr>
            <w:r>
              <w:rPr/>
              <w:t> </w:t>
            </w:r>
          </w:p>
        </w:tc>
        <w:tc>
          <w:tcPr>
            <w:tcW w:w="1454" w:type="dxa"/>
            <w:tcBorders>
              <w:bottom w:val="single" w:sz="8" w:space="0" w:color="000000"/>
            </w:tcBorders>
            <w:vAlign w:val="center"/>
          </w:tcPr>
          <w:p>
            <w:pPr>
              <w:pStyle w:val="TableContents"/>
              <w:bidi w:val="0"/>
              <w:spacing w:before="0" w:after="283"/>
              <w:jc w:val="center"/>
              <w:rPr>
                <w:b/>
                <w:sz w:val="20"/>
              </w:rPr>
            </w:pPr>
            <w:r>
              <w:rPr>
                <w:b/>
                <w:sz w:val="20"/>
              </w:rPr>
              <w:t>Principal Activities</w:t>
            </w:r>
          </w:p>
        </w:tc>
        <w:tc>
          <w:tcPr>
            <w:tcW w:w="1595" w:type="dxa"/>
            <w:tcBorders>
              <w:bottom w:val="single" w:sz="8" w:space="0" w:color="000000"/>
            </w:tcBorders>
            <w:vAlign w:val="center"/>
          </w:tcPr>
          <w:p>
            <w:pPr>
              <w:pStyle w:val="TableContents"/>
              <w:bidi w:val="0"/>
              <w:spacing w:before="0" w:after="283"/>
              <w:jc w:val="center"/>
              <w:rPr>
                <w:b/>
                <w:sz w:val="20"/>
              </w:rPr>
            </w:pPr>
            <w:r>
              <w:rPr>
                <w:b/>
                <w:sz w:val="20"/>
              </w:rPr>
              <w:t>Country of Incorporation</w:t>
            </w:r>
          </w:p>
        </w:tc>
        <w:tc>
          <w:tcPr>
            <w:tcW w:w="1269" w:type="dxa"/>
            <w:tcBorders>
              <w:bottom w:val="single" w:sz="8" w:space="0" w:color="000000"/>
            </w:tcBorders>
            <w:vAlign w:val="center"/>
          </w:tcPr>
          <w:p>
            <w:pPr>
              <w:pStyle w:val="TableContents"/>
              <w:bidi w:val="0"/>
              <w:spacing w:before="0" w:after="283"/>
              <w:jc w:val="center"/>
              <w:rPr>
                <w:b/>
                <w:sz w:val="20"/>
              </w:rPr>
            </w:pPr>
            <w:r>
              <w:rPr>
                <w:b/>
                <w:sz w:val="20"/>
              </w:rPr>
              <w:t>Functional Currency</w:t>
            </w:r>
          </w:p>
        </w:tc>
        <w:tc>
          <w:tcPr>
            <w:tcW w:w="2474" w:type="dxa"/>
            <w:gridSpan w:val="2"/>
            <w:tcBorders>
              <w:bottom w:val="single" w:sz="8" w:space="0" w:color="000000"/>
            </w:tcBorders>
            <w:vAlign w:val="center"/>
          </w:tcPr>
          <w:p>
            <w:pPr>
              <w:pStyle w:val="TableContents"/>
              <w:bidi w:val="0"/>
              <w:spacing w:before="0" w:after="283"/>
              <w:ind w:left="0" w:right="0" w:hanging="0"/>
              <w:jc w:val="center"/>
              <w:rPr>
                <w:b/>
                <w:sz w:val="20"/>
              </w:rPr>
            </w:pPr>
            <w:r>
              <w:rPr>
                <w:b/>
                <w:sz w:val="20"/>
              </w:rPr>
              <w:t>Equity interest (direct or indirect) (%)</w:t>
            </w:r>
          </w:p>
        </w:tc>
      </w:tr>
      <w:tr>
        <w:trPr/>
        <w:tc>
          <w:tcPr>
            <w:tcW w:w="33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4"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pPr>
            <w:r>
              <w:rPr/>
              <w:t> </w:t>
            </w:r>
          </w:p>
        </w:tc>
        <w:tc>
          <w:tcPr>
            <w:tcW w:w="1269" w:type="dxa"/>
            <w:tcBorders/>
            <w:tcMar>
              <w:bottom w:w="0" w:type="dxa"/>
            </w:tcMar>
            <w:vAlign w:val="center"/>
          </w:tcPr>
          <w:p>
            <w:pPr>
              <w:pStyle w:val="TableContents"/>
              <w:bidi w:val="0"/>
              <w:spacing w:before="0" w:after="283"/>
              <w:jc w:val="center"/>
              <w:rPr/>
            </w:pPr>
            <w:r>
              <w:rPr/>
              <w:t> </w:t>
            </w:r>
          </w:p>
        </w:tc>
        <w:tc>
          <w:tcPr>
            <w:tcW w:w="774" w:type="dxa"/>
            <w:tcBorders>
              <w:bottom w:val="single" w:sz="8" w:space="0" w:color="000000"/>
            </w:tcBorders>
            <w:vAlign w:val="center"/>
          </w:tcPr>
          <w:p>
            <w:pPr>
              <w:pStyle w:val="TableContents"/>
              <w:bidi w:val="0"/>
              <w:spacing w:before="0" w:after="283"/>
              <w:jc w:val="center"/>
              <w:rPr>
                <w:b/>
              </w:rPr>
            </w:pPr>
            <w:r>
              <w:rPr>
                <w:b/>
                <w:sz w:val="20"/>
              </w:rPr>
              <w:t>June 30,</w:t>
            </w:r>
            <w:r>
              <w:rPr>
                <w:b/>
              </w:rPr>
              <w:br/>
            </w:r>
            <w:r>
              <w:rPr>
                <w:b/>
                <w:sz w:val="20"/>
              </w:rPr>
              <w:t>2026</w:t>
            </w:r>
          </w:p>
        </w:tc>
        <w:tc>
          <w:tcPr>
            <w:tcW w:w="1700" w:type="dxa"/>
            <w:tcBorders>
              <w:bottom w:val="single" w:sz="8" w:space="0" w:color="000000"/>
            </w:tcBorders>
            <w:vAlign w:val="center"/>
          </w:tcPr>
          <w:p>
            <w:pPr>
              <w:pStyle w:val="TableContents"/>
              <w:bidi w:val="0"/>
              <w:spacing w:before="0" w:after="283"/>
              <w:ind w:left="0" w:right="0" w:hanging="0"/>
              <w:jc w:val="center"/>
              <w:rPr>
                <w:b/>
              </w:rPr>
            </w:pPr>
            <w:r>
              <w:rPr>
                <w:b/>
                <w:sz w:val="20"/>
              </w:rPr>
              <w:t>December 31,</w:t>
            </w:r>
            <w:r>
              <w:rPr>
                <w:b/>
              </w:rPr>
              <w:br/>
            </w:r>
            <w:r>
              <w:rPr>
                <w:b/>
                <w:sz w:val="20"/>
              </w:rPr>
              <w:t>2025</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ASI (General Partner 2019 European PE A) S.a.r.l.</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Lux</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Bali Energia Comercializadora de Energia Ltda.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Energy trading company</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BR</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BRL</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58.90%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ab/>
              <w:t>58.90 %</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Brain Co-Invest General Partner LLP (No: SO307684)</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Brazil Retail Property Opportunities General Partner, LLC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US</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ab/>
              <w:t>100.00</w:t>
              <w:tab/>
              <w:t>%</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ab/>
              <w:t>100.00</w:t>
              <w:tab/>
              <w:t>%</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Brazilian Alphaville Investments GP, L.L.C.</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US</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USD</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ab/>
              <w:t>100.00</w:t>
              <w:tab/>
              <w:t>%</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ab/>
              <w:t>100.00</w:t>
              <w:tab/>
              <w:t>%</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Brazilian Private Equity Feeder General Partner III, Ltd.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KY</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ab/>
              <w:t>100.00</w:t>
              <w:tab/>
              <w:t>%</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ab/>
              <w:t>100.00</w:t>
              <w:tab/>
              <w:t>%</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Brazilian Real Estate Investments GP, L.L.C.</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US</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USD</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ab/>
              <w:t>100.00</w:t>
              <w:tab/>
              <w:t>%</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ab/>
              <w:t>100.00</w:t>
              <w:tab/>
              <w:t>%</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Brazilian Real Estate Investments III GP, L.L.C.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US</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ab/>
              <w:t>100.00</w:t>
              <w:tab/>
              <w:t>%</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ab/>
              <w:t>100.00</w:t>
              <w:tab/>
              <w:t>%</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Brazilian Real Estate Opportunities III GP, L.L.C.</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US</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USD</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ab/>
              <w:t>100.00</w:t>
              <w:tab/>
              <w:t>%</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ab/>
              <w:t>100.00</w:t>
              <w:tab/>
              <w:t>%</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e.Bricks Ventures III GP, LLC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Investment fund manager</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KY</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ab/>
              <w:t>100.00</w:t>
              <w:tab/>
              <w:t>%</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ab/>
              <w:t>100.00</w:t>
              <w:tab/>
              <w:t>%</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FALCON Co-Invest General Partner LLP (No. SO308245)</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(CI General Partner) Limited (No: SC642069)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EUR</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(Executives General Partner) LLP (No SO308178)</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USD</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(Founder Partner Ignis Private Equity) Limited (No: SC539322)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(Founder Partner Ignis Strategic Credit) Limited (No: SC539324)</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USD</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2016 Co-Investment) Limited (No: SC546491)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GBP</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2019 European PE A Carry) Limited (No: SC618609)</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2019 European PE B) Limited (No: SC614813)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center"/>
              <w:rPr/>
            </w:pPr>
            <w:r>
              <w:rPr/>
              <w:t>             </w:t>
            </w: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Acropolis) LLP (No: SO308033)</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Actrax) LLP (SO308088)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GBP</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CPP) Limited (No: SC272870)</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EC) Limited (SC473807)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EUR</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ESF I) Limited (No: SC386260)</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pPr>
            <w:r>
              <w:rPr/>
              <w:t>       </w:t>
            </w: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ESP 2004) Limited (No: SC227033)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EUR</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ESP 2006) Limited (No: SC272871)</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ESP 2008) Limited (No: SC293352)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EUR</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ESP CAL) Limited (No: SC293350)</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Fire Horse) LLP (SO308310)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EUR</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II) Limited (No: SC215737)</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Light) LLP (No: SO308004)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EUR</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NASF I) Limited (No SC335259)</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USD</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NASP 2006) Limited (No: SC272867)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NASP 2008) Limited (No: SC293348)</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USD</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PCPF I) LLP (No. SO308244)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PE2) Limited (No: SC592629)</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EUR</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Pearl Private Equity) Limited (No: SC522698)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Pearl Strategic Credit) Limited (No: SC522699)</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USD</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SOF I) Limited (No: SC453038)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D5EAEA" w:val="clear"/>
            <w:tcMar>
              <w:bottom w:w="0" w:type="dxa"/>
            </w:tcMar>
            <w:vAlign w:val="center"/>
          </w:tcPr>
          <w:p>
            <w:pPr>
              <w:pStyle w:val="TableContents"/>
              <w:bidi w:val="0"/>
              <w:spacing w:before="0" w:after="283"/>
              <w:jc w:val="left"/>
              <w:rPr>
                <w:sz w:val="20"/>
              </w:rPr>
            </w:pPr>
            <w:r>
              <w:rPr>
                <w:sz w:val="20"/>
              </w:rPr>
              <w:t>GPMS (General Partner SOF II) Limited (No: SC473788)</w:t>
            </w:r>
          </w:p>
        </w:tc>
        <w:tc>
          <w:tcPr>
            <w:tcW w:w="60" w:type="dxa"/>
            <w:tcBorders/>
            <w:shd w:fill="D5EAEA" w:val="clear"/>
            <w:tcMar>
              <w:bottom w:w="0" w:type="dxa"/>
            </w:tcMar>
            <w:vAlign w:val="center"/>
          </w:tcPr>
          <w:p>
            <w:pPr>
              <w:pStyle w:val="TableContents"/>
              <w:bidi w:val="0"/>
              <w:spacing w:before="0" w:after="283"/>
              <w:jc w:val="center"/>
              <w:rPr/>
            </w:pPr>
            <w:r>
              <w:rPr/>
              <w:t> </w:t>
            </w:r>
          </w:p>
        </w:tc>
        <w:tc>
          <w:tcPr>
            <w:tcW w:w="1454" w:type="dxa"/>
            <w:tcBorders/>
            <w:shd w:fill="D5EAEA"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D5EAEA" w:val="clear"/>
            <w:tcMar>
              <w:bottom w:w="0" w:type="dxa"/>
            </w:tcMar>
            <w:vAlign w:val="center"/>
          </w:tcPr>
          <w:p>
            <w:pPr>
              <w:pStyle w:val="TableContents"/>
              <w:bidi w:val="0"/>
              <w:spacing w:before="0" w:after="283"/>
              <w:jc w:val="center"/>
              <w:rPr>
                <w:sz w:val="20"/>
              </w:rPr>
            </w:pPr>
            <w:r>
              <w:rPr>
                <w:sz w:val="20"/>
              </w:rPr>
              <w:t>UK</w:t>
            </w:r>
          </w:p>
        </w:tc>
        <w:tc>
          <w:tcPr>
            <w:tcW w:w="1269" w:type="dxa"/>
            <w:tcBorders/>
            <w:shd w:fill="D5EAEA" w:val="clear"/>
            <w:tcMar>
              <w:bottom w:w="0" w:type="dxa"/>
            </w:tcMar>
            <w:vAlign w:val="center"/>
          </w:tcPr>
          <w:p>
            <w:pPr>
              <w:pStyle w:val="TableContents"/>
              <w:bidi w:val="0"/>
              <w:spacing w:before="0" w:after="283"/>
              <w:jc w:val="center"/>
              <w:rPr>
                <w:sz w:val="20"/>
              </w:rPr>
            </w:pPr>
            <w:r>
              <w:rPr>
                <w:sz w:val="20"/>
              </w:rPr>
              <w:t>USD</w:t>
            </w:r>
          </w:p>
        </w:tc>
        <w:tc>
          <w:tcPr>
            <w:tcW w:w="774" w:type="dxa"/>
            <w:tcBorders/>
            <w:shd w:fill="D5EAEA"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D5EAEA" w:val="clear"/>
            <w:tcMar>
              <w:bottom w:w="0" w:type="dxa"/>
            </w:tcMar>
            <w:vAlign w:val="center"/>
          </w:tcPr>
          <w:p>
            <w:pPr>
              <w:pStyle w:val="TableContents"/>
              <w:bidi w:val="0"/>
              <w:spacing w:before="0" w:after="283"/>
              <w:ind w:left="0" w:right="0" w:hanging="0"/>
              <w:jc w:val="right"/>
              <w:rPr>
                <w:sz w:val="20"/>
              </w:rPr>
            </w:pPr>
            <w:r>
              <w:rPr>
                <w:sz w:val="20"/>
              </w:rPr>
              <w:t>100.00%</w:t>
            </w:r>
          </w:p>
        </w:tc>
      </w:tr>
      <w:tr>
        <w:trPr/>
        <w:tc>
          <w:tcPr>
            <w:tcW w:w="3353" w:type="dxa"/>
            <w:tcBorders/>
            <w:shd w:fill="FFFFFF" w:val="clear"/>
            <w:tcMar>
              <w:bottom w:w="0" w:type="dxa"/>
            </w:tcMar>
            <w:vAlign w:val="center"/>
          </w:tcPr>
          <w:p>
            <w:pPr>
              <w:pStyle w:val="TableContents"/>
              <w:bidi w:val="0"/>
              <w:spacing w:before="0" w:after="283"/>
              <w:jc w:val="left"/>
              <w:rPr>
                <w:sz w:val="20"/>
              </w:rPr>
            </w:pPr>
            <w:r>
              <w:rPr>
                <w:sz w:val="20"/>
              </w:rPr>
              <w:t>GPMS (General Partner SOF III) Limited (No: SC525381)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4" w:type="dxa"/>
            <w:tcBorders/>
            <w:shd w:fill="FFFFFF" w:val="clear"/>
            <w:tcMar>
              <w:bottom w:w="0" w:type="dxa"/>
            </w:tcMar>
            <w:vAlign w:val="center"/>
          </w:tcPr>
          <w:p>
            <w:pPr>
              <w:pStyle w:val="TableContents"/>
              <w:bidi w:val="0"/>
              <w:spacing w:before="0" w:after="283"/>
              <w:jc w:val="center"/>
              <w:rPr>
                <w:sz w:val="20"/>
              </w:rPr>
            </w:pPr>
            <w:r>
              <w:rPr>
                <w:sz w:val="20"/>
              </w:rPr>
              <w:t>Asset management</w:t>
            </w:r>
          </w:p>
        </w:tc>
        <w:tc>
          <w:tcPr>
            <w:tcW w:w="1595" w:type="dxa"/>
            <w:tcBorders/>
            <w:shd w:fill="FFFFFF" w:val="clear"/>
            <w:tcMar>
              <w:bottom w:w="0" w:type="dxa"/>
            </w:tcMar>
            <w:vAlign w:val="center"/>
          </w:tcPr>
          <w:p>
            <w:pPr>
              <w:pStyle w:val="TableContents"/>
              <w:bidi w:val="0"/>
              <w:spacing w:before="0" w:after="283"/>
              <w:jc w:val="center"/>
              <w:rPr>
                <w:sz w:val="20"/>
              </w:rPr>
            </w:pPr>
            <w:r>
              <w:rPr>
                <w:sz w:val="20"/>
              </w:rPr>
              <w:t>UK</w:t>
            </w:r>
          </w:p>
        </w:tc>
        <w:tc>
          <w:tcPr>
            <w:tcW w:w="1269" w:type="dxa"/>
            <w:tcBorders/>
            <w:shd w:fill="FFFFFF" w:val="clear"/>
            <w:tcMar>
              <w:bottom w:w="0" w:type="dxa"/>
            </w:tcMar>
            <w:vAlign w:val="center"/>
          </w:tcPr>
          <w:p>
            <w:pPr>
              <w:pStyle w:val="TableContents"/>
              <w:bidi w:val="0"/>
              <w:spacing w:before="0" w:after="283"/>
              <w:jc w:val="center"/>
              <w:rPr>
                <w:sz w:val="20"/>
              </w:rPr>
            </w:pPr>
            <w:r>
              <w:rPr>
                <w:sz w:val="20"/>
              </w:rPr>
              <w:t>USD</w:t>
            </w:r>
          </w:p>
        </w:tc>
        <w:tc>
          <w:tcPr>
            <w:tcW w:w="77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1700" w:type="dxa"/>
            <w:tcBorders/>
            <w:shd w:fill="FFFFFF" w:val="clear"/>
            <w:tcMar>
              <w:bottom w:w="0" w:type="dxa"/>
            </w:tcMar>
            <w:vAlign w:val="center"/>
          </w:tcPr>
          <w:p>
            <w:pPr>
              <w:pStyle w:val="TableContents"/>
              <w:bidi w:val="0"/>
              <w:spacing w:before="0" w:after="283"/>
              <w:jc w:val="right"/>
              <w:rPr>
                <w:sz w:val="20"/>
              </w:rPr>
            </w:pPr>
            <w:r>
              <w:rPr>
                <w:sz w:val="20"/>
              </w:rPr>
              <w:t>100.00%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999" w:type="dxa"/>
        <w:jc w:val="left"/>
        <w:tblInd w:w="0" w:type="dxa"/>
        <w:tblLayout w:type="fixed"/>
        <w:tblCellMar>
          <w:top w:w="0" w:type="dxa"/>
          <w:left w:w="0" w:type="dxa"/>
          <w:bottom w:w="28" w:type="dxa"/>
          <w:right w:w="0" w:type="dxa"/>
        </w:tblCellMar>
      </w:tblPr>
      <w:tblGrid>
        <w:gridCol w:w="1070"/>
        <w:gridCol w:w="60"/>
        <w:gridCol w:w="1655"/>
        <w:gridCol w:w="2180"/>
        <w:gridCol w:w="1790"/>
        <w:gridCol w:w="1228"/>
        <w:gridCol w:w="2016"/>
      </w:tblGrid>
      <w:tr>
        <w:trPr/>
        <w:tc>
          <w:tcPr>
            <w:tcW w:w="1070" w:type="dxa"/>
            <w:tcBorders>
              <w:bottom w:val="single" w:sz="8" w:space="0" w:color="000000"/>
            </w:tcBorders>
            <w:vAlign w:val="center"/>
          </w:tcPr>
          <w:p>
            <w:pPr>
              <w:pStyle w:val="TableContents"/>
              <w:bidi w:val="0"/>
              <w:spacing w:before="0" w:after="283"/>
              <w:jc w:val="left"/>
              <w:rPr>
                <w:b/>
                <w:sz w:val="20"/>
              </w:rPr>
            </w:pPr>
            <w:r>
              <w:rPr>
                <w:b/>
                <w:sz w:val="20"/>
              </w:rPr>
              <w:t>Subsidiaries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8" w:space="0" w:color="000000"/>
            </w:tcBorders>
            <w:vAlign w:val="center"/>
          </w:tcPr>
          <w:p>
            <w:pPr>
              <w:pStyle w:val="TableContents"/>
              <w:bidi w:val="0"/>
              <w:spacing w:before="0" w:after="283"/>
              <w:jc w:val="center"/>
              <w:rPr>
                <w:b/>
                <w:sz w:val="20"/>
              </w:rPr>
            </w:pPr>
            <w:r>
              <w:rPr>
                <w:b/>
                <w:sz w:val="20"/>
              </w:rPr>
              <w:t>Principal Activities</w:t>
            </w:r>
          </w:p>
        </w:tc>
        <w:tc>
          <w:tcPr>
            <w:tcW w:w="2180" w:type="dxa"/>
            <w:tcBorders>
              <w:bottom w:val="single" w:sz="8" w:space="0" w:color="000000"/>
            </w:tcBorders>
            <w:vAlign w:val="center"/>
          </w:tcPr>
          <w:p>
            <w:pPr>
              <w:pStyle w:val="TableContents"/>
              <w:bidi w:val="0"/>
              <w:spacing w:before="0" w:after="283"/>
              <w:jc w:val="center"/>
              <w:rPr>
                <w:b/>
                <w:sz w:val="20"/>
              </w:rPr>
            </w:pPr>
            <w:r>
              <w:rPr>
                <w:b/>
                <w:sz w:val="20"/>
              </w:rPr>
              <w:t>Country of Incorporation</w:t>
            </w:r>
          </w:p>
        </w:tc>
        <w:tc>
          <w:tcPr>
            <w:tcW w:w="1790" w:type="dxa"/>
            <w:tcBorders>
              <w:bottom w:val="single" w:sz="8" w:space="0" w:color="000000"/>
            </w:tcBorders>
            <w:vAlign w:val="center"/>
          </w:tcPr>
          <w:p>
            <w:pPr>
              <w:pStyle w:val="TableContents"/>
              <w:bidi w:val="0"/>
              <w:spacing w:before="0" w:after="283"/>
              <w:jc w:val="center"/>
              <w:rPr>
                <w:b/>
                <w:sz w:val="20"/>
              </w:rPr>
            </w:pPr>
            <w:r>
              <w:rPr>
                <w:b/>
                <w:sz w:val="20"/>
              </w:rPr>
              <w:t>Functional Currency</w:t>
            </w:r>
          </w:p>
        </w:tc>
        <w:tc>
          <w:tcPr>
            <w:tcW w:w="3244" w:type="dxa"/>
            <w:gridSpan w:val="2"/>
            <w:tcBorders>
              <w:bottom w:val="single" w:sz="8" w:space="0" w:color="000000"/>
            </w:tcBorders>
            <w:vAlign w:val="center"/>
          </w:tcPr>
          <w:p>
            <w:pPr>
              <w:pStyle w:val="TableContents"/>
              <w:bidi w:val="0"/>
              <w:spacing w:before="0" w:after="283"/>
              <w:ind w:left="0" w:right="0" w:hanging="0"/>
              <w:jc w:val="center"/>
              <w:rPr>
                <w:b/>
                <w:sz w:val="20"/>
              </w:rPr>
            </w:pPr>
            <w:r>
              <w:rPr>
                <w:b/>
                <w:sz w:val="20"/>
              </w:rPr>
              <w:t>Equity interest (direct or indirect) (%)</w:t>
            </w:r>
          </w:p>
        </w:tc>
      </w:tr>
      <w:tr>
        <w:trPr/>
        <w:tc>
          <w:tcPr>
            <w:tcW w:w="10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c>
          <w:tcPr>
            <w:tcW w:w="2180" w:type="dxa"/>
            <w:tcBorders/>
            <w:tcMar>
              <w:bottom w:w="0" w:type="dxa"/>
            </w:tcMar>
            <w:vAlign w:val="center"/>
          </w:tcPr>
          <w:p>
            <w:pPr>
              <w:pStyle w:val="TableContents"/>
              <w:bidi w:val="0"/>
              <w:spacing w:before="0" w:after="283"/>
              <w:jc w:val="center"/>
              <w:rPr/>
            </w:pPr>
            <w:r>
              <w:rPr/>
              <w:t> </w:t>
            </w:r>
          </w:p>
        </w:tc>
        <w:tc>
          <w:tcPr>
            <w:tcW w:w="1790" w:type="dxa"/>
            <w:tcBorders/>
            <w:tcMar>
              <w:bottom w:w="0" w:type="dxa"/>
            </w:tcMar>
            <w:vAlign w:val="center"/>
          </w:tcPr>
          <w:p>
            <w:pPr>
              <w:pStyle w:val="TableContents"/>
              <w:bidi w:val="0"/>
              <w:spacing w:before="0" w:after="283"/>
              <w:jc w:val="center"/>
              <w:rPr/>
            </w:pPr>
            <w:r>
              <w:rPr/>
              <w:t> </w:t>
            </w:r>
          </w:p>
        </w:tc>
        <w:tc>
          <w:tcPr>
            <w:tcW w:w="1228" w:type="dxa"/>
            <w:tcBorders>
              <w:bottom w:val="single" w:sz="8" w:space="0" w:color="000000"/>
            </w:tcBorders>
            <w:vAlign w:val="center"/>
          </w:tcPr>
          <w:p>
            <w:pPr>
              <w:pStyle w:val="TableContents"/>
              <w:bidi w:val="0"/>
              <w:spacing w:before="0" w:after="283"/>
              <w:jc w:val="center"/>
              <w:rPr>
                <w:b/>
              </w:rPr>
            </w:pPr>
            <w:r>
              <w:rPr>
                <w:b/>
                <w:sz w:val="20"/>
              </w:rPr>
              <w:t>June 30,</w:t>
            </w:r>
            <w:r>
              <w:rPr>
                <w:b/>
              </w:rPr>
              <w:br/>
            </w:r>
            <w:r>
              <w:rPr>
                <w:b/>
                <w:sz w:val="20"/>
              </w:rPr>
              <w:t>2026</w:t>
            </w:r>
          </w:p>
        </w:tc>
        <w:tc>
          <w:tcPr>
            <w:tcW w:w="2016" w:type="dxa"/>
            <w:tcBorders>
              <w:bottom w:val="single" w:sz="8" w:space="0" w:color="000000"/>
            </w:tcBorders>
            <w:vAlign w:val="center"/>
          </w:tcPr>
          <w:p>
            <w:pPr>
              <w:pStyle w:val="TableContents"/>
              <w:bidi w:val="0"/>
              <w:spacing w:before="0" w:after="283"/>
              <w:jc w:val="center"/>
              <w:rPr>
                <w:b/>
              </w:rPr>
            </w:pPr>
            <w:r>
              <w:rPr>
                <w:b/>
                <w:sz w:val="20"/>
              </w:rPr>
              <w:t>December 31,</w:t>
            </w:r>
            <w:r>
              <w:rPr>
                <w:b/>
              </w:rPr>
              <w:br/>
            </w:r>
            <w:r>
              <w:rPr>
                <w:b/>
                <w:sz w:val="20"/>
              </w:rPr>
              <w:t>2025</w:t>
            </w:r>
          </w:p>
        </w:tc>
      </w:tr>
    </w:tbl>
    <w:tbl>
      <w:tblPr>
        <w:tblW w:w="10205" w:type="dxa"/>
        <w:jc w:val="left"/>
        <w:tblInd w:w="0" w:type="dxa"/>
        <w:tblLayout w:type="fixed"/>
        <w:tblCellMar>
          <w:top w:w="0" w:type="dxa"/>
          <w:left w:w="0" w:type="dxa"/>
          <w:bottom w:w="0" w:type="dxa"/>
          <w:right w:w="0" w:type="dxa"/>
        </w:tblCellMar>
      </w:tblPr>
      <w:tblGrid>
        <w:gridCol w:w="4054"/>
        <w:gridCol w:w="250"/>
        <w:gridCol w:w="2491"/>
        <w:gridCol w:w="950"/>
        <w:gridCol w:w="470"/>
        <w:gridCol w:w="701"/>
        <w:gridCol w:w="1289"/>
      </w:tblGrid>
      <w:tr>
        <w:trPr/>
        <w:tc>
          <w:tcPr>
            <w:tcW w:w="4054" w:type="dxa"/>
            <w:tcBorders/>
            <w:shd w:fill="D5EAEA" w:val="clear"/>
            <w:vAlign w:val="center"/>
          </w:tcPr>
          <w:p>
            <w:pPr>
              <w:pStyle w:val="TableContents"/>
              <w:bidi w:val="0"/>
              <w:spacing w:before="0" w:after="283"/>
              <w:ind w:left="0" w:right="0" w:hanging="0"/>
              <w:jc w:val="left"/>
              <w:rPr>
                <w:sz w:val="20"/>
              </w:rPr>
            </w:pPr>
            <w:r>
              <w:rPr>
                <w:sz w:val="20"/>
              </w:rPr>
              <w:t>GPMS (General Partner SOF IV) Limited (No: SC613248)</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UK</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100.00%</w:t>
            </w:r>
          </w:p>
        </w:tc>
        <w:tc>
          <w:tcPr>
            <w:tcW w:w="1289" w:type="dxa"/>
            <w:tcBorders/>
            <w:shd w:fill="D5EAEA"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FFFFFF" w:val="clear"/>
            <w:vAlign w:val="center"/>
          </w:tcPr>
          <w:p>
            <w:pPr>
              <w:pStyle w:val="TableContents"/>
              <w:bidi w:val="0"/>
              <w:spacing w:before="0" w:after="283"/>
              <w:jc w:val="left"/>
              <w:rPr>
                <w:sz w:val="20"/>
              </w:rPr>
            </w:pPr>
            <w:r>
              <w:rPr>
                <w:sz w:val="20"/>
              </w:rPr>
              <w:t>GPMS (General Partner SOF V) Sarl</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Lux</w:t>
            </w:r>
          </w:p>
        </w:tc>
        <w:tc>
          <w:tcPr>
            <w:tcW w:w="470" w:type="dxa"/>
            <w:tcBorders/>
            <w:shd w:fill="FFFFFF" w:val="clear"/>
            <w:vAlign w:val="center"/>
          </w:tcPr>
          <w:p>
            <w:pPr>
              <w:pStyle w:val="TableContents"/>
              <w:bidi w:val="0"/>
              <w:spacing w:before="0" w:after="283"/>
              <w:jc w:val="center"/>
              <w:rPr>
                <w:sz w:val="20"/>
              </w:rPr>
            </w:pPr>
            <w:r>
              <w:rPr>
                <w:sz w:val="20"/>
              </w:rPr>
              <w:t>EUR</w:t>
            </w:r>
          </w:p>
        </w:tc>
        <w:tc>
          <w:tcPr>
            <w:tcW w:w="701" w:type="dxa"/>
            <w:tcBorders/>
            <w:shd w:fill="FFFFFF" w:val="clear"/>
            <w:vAlign w:val="center"/>
          </w:tcPr>
          <w:p>
            <w:pPr>
              <w:pStyle w:val="TableContents"/>
              <w:bidi w:val="0"/>
              <w:spacing w:before="0" w:after="283"/>
              <w:jc w:val="right"/>
              <w:rPr>
                <w:sz w:val="20"/>
              </w:rPr>
            </w:pPr>
            <w:r>
              <w:rPr>
                <w:sz w:val="20"/>
              </w:rPr>
              <w:t>100.00%</w:t>
            </w:r>
          </w:p>
        </w:tc>
        <w:tc>
          <w:tcPr>
            <w:tcW w:w="1289" w:type="dxa"/>
            <w:tcBorders/>
            <w:shd w:fill="FFFFFF"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D5EAEA" w:val="clear"/>
            <w:vAlign w:val="center"/>
          </w:tcPr>
          <w:p>
            <w:pPr>
              <w:pStyle w:val="TableContents"/>
              <w:bidi w:val="0"/>
              <w:spacing w:before="0" w:after="283"/>
              <w:jc w:val="left"/>
              <w:rPr>
                <w:sz w:val="20"/>
              </w:rPr>
            </w:pPr>
            <w:r>
              <w:rPr>
                <w:sz w:val="20"/>
              </w:rPr>
              <w:t>GPMS (GENERAL PARTNER SYCAMORE) LIMITED</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pPr>
            <w:r>
              <w:rPr/>
              <w:t>   </w:t>
            </w: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UK</w:t>
            </w:r>
          </w:p>
        </w:tc>
        <w:tc>
          <w:tcPr>
            <w:tcW w:w="470" w:type="dxa"/>
            <w:tcBorders/>
            <w:shd w:fill="D5EAEA" w:val="clear"/>
            <w:vAlign w:val="center"/>
          </w:tcPr>
          <w:p>
            <w:pPr>
              <w:pStyle w:val="TableContents"/>
              <w:bidi w:val="0"/>
              <w:spacing w:before="0" w:after="283"/>
              <w:jc w:val="center"/>
              <w:rPr>
                <w:sz w:val="20"/>
              </w:rPr>
            </w:pPr>
            <w:r>
              <w:rPr>
                <w:sz w:val="20"/>
              </w:rPr>
              <w:t>GBP</w:t>
            </w:r>
          </w:p>
        </w:tc>
        <w:tc>
          <w:tcPr>
            <w:tcW w:w="701" w:type="dxa"/>
            <w:tcBorders/>
            <w:shd w:fill="D5EAEA" w:val="clear"/>
            <w:vAlign w:val="center"/>
          </w:tcPr>
          <w:p>
            <w:pPr>
              <w:pStyle w:val="TableContents"/>
              <w:bidi w:val="0"/>
              <w:spacing w:before="0" w:after="283"/>
              <w:jc w:val="right"/>
              <w:rPr>
                <w:sz w:val="20"/>
              </w:rPr>
            </w:pPr>
            <w:r>
              <w:rPr>
                <w:sz w:val="20"/>
              </w:rPr>
              <w:t>100.00%</w:t>
            </w:r>
          </w:p>
        </w:tc>
        <w:tc>
          <w:tcPr>
            <w:tcW w:w="1289" w:type="dxa"/>
            <w:tcBorders/>
            <w:shd w:fill="D5EAEA"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FFFFFF" w:val="clear"/>
            <w:vAlign w:val="center"/>
          </w:tcPr>
          <w:p>
            <w:pPr>
              <w:pStyle w:val="TableContents"/>
              <w:bidi w:val="0"/>
              <w:spacing w:before="0" w:after="283"/>
              <w:jc w:val="left"/>
              <w:rPr>
                <w:sz w:val="20"/>
              </w:rPr>
            </w:pPr>
            <w:r>
              <w:rPr>
                <w:sz w:val="20"/>
              </w:rPr>
              <w:t>GPMS (General Partner Tidal Reach) Limited (No: SC272869)</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UK</w:t>
            </w:r>
          </w:p>
        </w:tc>
        <w:tc>
          <w:tcPr>
            <w:tcW w:w="470" w:type="dxa"/>
            <w:tcBorders/>
            <w:shd w:fill="FFFFFF" w:val="clear"/>
            <w:vAlign w:val="center"/>
          </w:tcPr>
          <w:p>
            <w:pPr>
              <w:pStyle w:val="TableContents"/>
              <w:bidi w:val="0"/>
              <w:spacing w:before="0" w:after="283"/>
              <w:jc w:val="center"/>
              <w:rPr>
                <w:sz w:val="20"/>
              </w:rPr>
            </w:pPr>
            <w:r>
              <w:rPr>
                <w:sz w:val="20"/>
              </w:rPr>
              <w:t>EUR</w:t>
            </w:r>
          </w:p>
        </w:tc>
        <w:tc>
          <w:tcPr>
            <w:tcW w:w="701" w:type="dxa"/>
            <w:tcBorders/>
            <w:shd w:fill="FFFFFF" w:val="clear"/>
            <w:vAlign w:val="center"/>
          </w:tcPr>
          <w:p>
            <w:pPr>
              <w:pStyle w:val="TableContents"/>
              <w:bidi w:val="0"/>
              <w:spacing w:before="0" w:after="283"/>
              <w:jc w:val="right"/>
              <w:rPr>
                <w:sz w:val="20"/>
              </w:rPr>
            </w:pPr>
            <w:r>
              <w:rPr>
                <w:sz w:val="20"/>
              </w:rPr>
              <w:t>100.00%</w:t>
            </w:r>
          </w:p>
        </w:tc>
        <w:tc>
          <w:tcPr>
            <w:tcW w:w="1289" w:type="dxa"/>
            <w:tcBorders/>
            <w:shd w:fill="FFFFFF"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D5EAEA" w:val="clear"/>
            <w:vAlign w:val="center"/>
          </w:tcPr>
          <w:p>
            <w:pPr>
              <w:pStyle w:val="TableContents"/>
              <w:bidi w:val="0"/>
              <w:spacing w:before="0" w:after="283"/>
              <w:jc w:val="left"/>
              <w:rPr>
                <w:sz w:val="20"/>
              </w:rPr>
            </w:pPr>
            <w:r>
              <w:rPr>
                <w:sz w:val="20"/>
              </w:rPr>
              <w:t>GPMS (General Partner Unit) LLP (No: SO308088)</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UK</w:t>
            </w:r>
          </w:p>
        </w:tc>
        <w:tc>
          <w:tcPr>
            <w:tcW w:w="470" w:type="dxa"/>
            <w:tcBorders/>
            <w:shd w:fill="D5EAEA" w:val="clear"/>
            <w:vAlign w:val="center"/>
          </w:tcPr>
          <w:p>
            <w:pPr>
              <w:pStyle w:val="TableContents"/>
              <w:bidi w:val="0"/>
              <w:spacing w:before="0" w:after="283"/>
              <w:jc w:val="center"/>
              <w:rPr>
                <w:sz w:val="20"/>
              </w:rPr>
            </w:pPr>
            <w:r>
              <w:rPr>
                <w:sz w:val="20"/>
              </w:rPr>
              <w:t>EUR</w:t>
            </w:r>
          </w:p>
        </w:tc>
        <w:tc>
          <w:tcPr>
            <w:tcW w:w="701" w:type="dxa"/>
            <w:tcBorders/>
            <w:shd w:fill="D5EAEA" w:val="clear"/>
            <w:vAlign w:val="center"/>
          </w:tcPr>
          <w:p>
            <w:pPr>
              <w:pStyle w:val="TableContents"/>
              <w:bidi w:val="0"/>
              <w:spacing w:before="0" w:after="283"/>
              <w:jc w:val="right"/>
              <w:rPr>
                <w:sz w:val="20"/>
              </w:rPr>
            </w:pPr>
            <w:r>
              <w:rPr>
                <w:sz w:val="20"/>
              </w:rPr>
              <w:t>100.00%</w:t>
            </w:r>
          </w:p>
        </w:tc>
        <w:tc>
          <w:tcPr>
            <w:tcW w:w="1289" w:type="dxa"/>
            <w:tcBorders/>
            <w:shd w:fill="D5EAEA"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FFFFFF" w:val="clear"/>
            <w:vAlign w:val="center"/>
          </w:tcPr>
          <w:p>
            <w:pPr>
              <w:pStyle w:val="TableContents"/>
              <w:bidi w:val="0"/>
              <w:spacing w:before="0" w:after="283"/>
              <w:jc w:val="left"/>
              <w:rPr>
                <w:sz w:val="20"/>
              </w:rPr>
            </w:pPr>
            <w:r>
              <w:rPr>
                <w:sz w:val="20"/>
              </w:rPr>
              <w:t>GPMS (General Partner USA) Limited (No: SC227032)</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UK</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100.00%</w:t>
            </w:r>
          </w:p>
        </w:tc>
        <w:tc>
          <w:tcPr>
            <w:tcW w:w="1289" w:type="dxa"/>
            <w:tcBorders/>
            <w:shd w:fill="FFFFFF"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D5EAEA" w:val="clear"/>
            <w:vAlign w:val="center"/>
          </w:tcPr>
          <w:p>
            <w:pPr>
              <w:pStyle w:val="TableContents"/>
              <w:bidi w:val="0"/>
              <w:spacing w:before="0" w:after="283"/>
              <w:jc w:val="left"/>
              <w:rPr>
                <w:sz w:val="20"/>
              </w:rPr>
            </w:pPr>
            <w:r>
              <w:rPr>
                <w:sz w:val="20"/>
              </w:rPr>
              <w:t>GPMS (General Partner) Limited (No: SC184075)</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UK</w:t>
            </w:r>
          </w:p>
        </w:tc>
        <w:tc>
          <w:tcPr>
            <w:tcW w:w="470" w:type="dxa"/>
            <w:tcBorders/>
            <w:shd w:fill="D5EAEA" w:val="clear"/>
            <w:vAlign w:val="center"/>
          </w:tcPr>
          <w:p>
            <w:pPr>
              <w:pStyle w:val="TableContents"/>
              <w:bidi w:val="0"/>
              <w:spacing w:before="0" w:after="283"/>
              <w:jc w:val="center"/>
              <w:rPr>
                <w:sz w:val="20"/>
              </w:rPr>
            </w:pPr>
            <w:r>
              <w:rPr>
                <w:sz w:val="20"/>
              </w:rPr>
              <w:t>EUR</w:t>
            </w:r>
          </w:p>
        </w:tc>
        <w:tc>
          <w:tcPr>
            <w:tcW w:w="701" w:type="dxa"/>
            <w:tcBorders/>
            <w:shd w:fill="D5EAEA" w:val="clear"/>
            <w:vAlign w:val="center"/>
          </w:tcPr>
          <w:p>
            <w:pPr>
              <w:pStyle w:val="TableContents"/>
              <w:bidi w:val="0"/>
              <w:spacing w:before="0" w:after="283"/>
              <w:jc w:val="right"/>
              <w:rPr>
                <w:sz w:val="20"/>
              </w:rPr>
            </w:pPr>
            <w:r>
              <w:rPr>
                <w:sz w:val="20"/>
              </w:rPr>
              <w:t>100.00%</w:t>
            </w:r>
          </w:p>
        </w:tc>
        <w:tc>
          <w:tcPr>
            <w:tcW w:w="1289" w:type="dxa"/>
            <w:tcBorders/>
            <w:shd w:fill="D5EAEA"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FFFFFF" w:val="clear"/>
            <w:vAlign w:val="center"/>
          </w:tcPr>
          <w:p>
            <w:pPr>
              <w:pStyle w:val="TableContents"/>
              <w:bidi w:val="0"/>
              <w:spacing w:before="0" w:after="283"/>
              <w:jc w:val="left"/>
              <w:rPr>
                <w:sz w:val="20"/>
              </w:rPr>
            </w:pPr>
            <w:r>
              <w:rPr>
                <w:sz w:val="20"/>
              </w:rPr>
              <w:t>GPMS (SOF E GP) Limited (No: SC636495)</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UK</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100.00%</w:t>
            </w:r>
          </w:p>
        </w:tc>
        <w:tc>
          <w:tcPr>
            <w:tcW w:w="1289" w:type="dxa"/>
            <w:tcBorders/>
            <w:shd w:fill="FFFFFF"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D5EAEA" w:val="clear"/>
            <w:vAlign w:val="center"/>
          </w:tcPr>
          <w:p>
            <w:pPr>
              <w:pStyle w:val="TableContents"/>
              <w:bidi w:val="0"/>
              <w:spacing w:before="0" w:after="283"/>
              <w:jc w:val="left"/>
              <w:rPr>
                <w:sz w:val="20"/>
              </w:rPr>
            </w:pPr>
            <w:r>
              <w:rPr>
                <w:sz w:val="20"/>
              </w:rPr>
              <w:t>GPMS ACP LLP (No: SO304824)</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UK</w:t>
            </w:r>
          </w:p>
        </w:tc>
        <w:tc>
          <w:tcPr>
            <w:tcW w:w="470" w:type="dxa"/>
            <w:tcBorders/>
            <w:shd w:fill="D5EAEA" w:val="clear"/>
            <w:vAlign w:val="center"/>
          </w:tcPr>
          <w:p>
            <w:pPr>
              <w:pStyle w:val="TableContents"/>
              <w:bidi w:val="0"/>
              <w:spacing w:before="0" w:after="283"/>
              <w:jc w:val="center"/>
              <w:rPr>
                <w:sz w:val="20"/>
              </w:rPr>
            </w:pPr>
            <w:r>
              <w:rPr>
                <w:sz w:val="20"/>
              </w:rPr>
              <w:t>EUR</w:t>
            </w:r>
          </w:p>
        </w:tc>
        <w:tc>
          <w:tcPr>
            <w:tcW w:w="701" w:type="dxa"/>
            <w:tcBorders/>
            <w:shd w:fill="D5EAEA" w:val="clear"/>
            <w:vAlign w:val="center"/>
          </w:tcPr>
          <w:p>
            <w:pPr>
              <w:pStyle w:val="TableContents"/>
              <w:bidi w:val="0"/>
              <w:spacing w:before="0" w:after="283"/>
              <w:jc w:val="right"/>
              <w:rPr>
                <w:sz w:val="20"/>
              </w:rPr>
            </w:pPr>
            <w:r>
              <w:rPr>
                <w:sz w:val="20"/>
              </w:rPr>
              <w:t>100.00%</w:t>
            </w:r>
          </w:p>
        </w:tc>
        <w:tc>
          <w:tcPr>
            <w:tcW w:w="1289" w:type="dxa"/>
            <w:tcBorders/>
            <w:shd w:fill="D5EAEA"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FFFFFF" w:val="clear"/>
            <w:vAlign w:val="center"/>
          </w:tcPr>
          <w:p>
            <w:pPr>
              <w:pStyle w:val="TableContents"/>
              <w:bidi w:val="0"/>
              <w:spacing w:before="0" w:after="283"/>
              <w:jc w:val="left"/>
              <w:rPr>
                <w:sz w:val="20"/>
              </w:rPr>
            </w:pPr>
            <w:r>
              <w:rPr>
                <w:sz w:val="20"/>
              </w:rPr>
              <w:t>GPMS APAC Private Equity 4 GP Limited</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100.00%</w:t>
            </w:r>
          </w:p>
        </w:tc>
        <w:tc>
          <w:tcPr>
            <w:tcW w:w="1289" w:type="dxa"/>
            <w:tcBorders/>
            <w:shd w:fill="FFFFFF"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D5EAEA" w:val="clear"/>
            <w:vAlign w:val="center"/>
          </w:tcPr>
          <w:p>
            <w:pPr>
              <w:pStyle w:val="TableContents"/>
              <w:bidi w:val="0"/>
              <w:spacing w:before="0" w:after="283"/>
              <w:jc w:val="left"/>
              <w:rPr>
                <w:sz w:val="20"/>
              </w:rPr>
            </w:pPr>
            <w:r>
              <w:rPr>
                <w:sz w:val="20"/>
              </w:rPr>
              <w:t>GPMS GP 1 LLP (No: SO305095)</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UK</w:t>
            </w:r>
          </w:p>
        </w:tc>
        <w:tc>
          <w:tcPr>
            <w:tcW w:w="470" w:type="dxa"/>
            <w:tcBorders/>
            <w:shd w:fill="D5EAEA" w:val="clear"/>
            <w:vAlign w:val="center"/>
          </w:tcPr>
          <w:p>
            <w:pPr>
              <w:pStyle w:val="TableContents"/>
              <w:bidi w:val="0"/>
              <w:spacing w:before="0" w:after="283"/>
              <w:jc w:val="center"/>
              <w:rPr>
                <w:sz w:val="20"/>
              </w:rPr>
            </w:pPr>
            <w:r>
              <w:rPr>
                <w:sz w:val="20"/>
              </w:rPr>
              <w:t>EUR</w:t>
            </w:r>
          </w:p>
        </w:tc>
        <w:tc>
          <w:tcPr>
            <w:tcW w:w="701" w:type="dxa"/>
            <w:tcBorders/>
            <w:shd w:fill="D5EAEA" w:val="clear"/>
            <w:vAlign w:val="center"/>
          </w:tcPr>
          <w:p>
            <w:pPr>
              <w:pStyle w:val="TableContents"/>
              <w:bidi w:val="0"/>
              <w:spacing w:before="0" w:after="283"/>
              <w:jc w:val="right"/>
              <w:rPr>
                <w:sz w:val="20"/>
              </w:rPr>
            </w:pPr>
            <w:r>
              <w:rPr>
                <w:sz w:val="20"/>
              </w:rPr>
              <w:t>100.00%</w:t>
            </w:r>
          </w:p>
        </w:tc>
        <w:tc>
          <w:tcPr>
            <w:tcW w:w="1289" w:type="dxa"/>
            <w:tcBorders/>
            <w:shd w:fill="D5EAEA"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FFFFFF" w:val="clear"/>
            <w:vAlign w:val="center"/>
          </w:tcPr>
          <w:p>
            <w:pPr>
              <w:pStyle w:val="TableContents"/>
              <w:bidi w:val="0"/>
              <w:spacing w:before="0" w:after="283"/>
              <w:jc w:val="left"/>
              <w:rPr>
                <w:sz w:val="20"/>
              </w:rPr>
            </w:pPr>
            <w:r>
              <w:rPr>
                <w:sz w:val="20"/>
              </w:rPr>
              <w:t>GPMS GP 2 LLP (No: SO305096)</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UK</w:t>
            </w:r>
          </w:p>
        </w:tc>
        <w:tc>
          <w:tcPr>
            <w:tcW w:w="470" w:type="dxa"/>
            <w:tcBorders/>
            <w:shd w:fill="FFFFFF" w:val="clear"/>
            <w:vAlign w:val="center"/>
          </w:tcPr>
          <w:p>
            <w:pPr>
              <w:pStyle w:val="TableContents"/>
              <w:bidi w:val="0"/>
              <w:spacing w:before="0" w:after="283"/>
              <w:jc w:val="center"/>
              <w:rPr>
                <w:sz w:val="20"/>
              </w:rPr>
            </w:pPr>
            <w:r>
              <w:rPr>
                <w:sz w:val="20"/>
              </w:rPr>
              <w:t>GBP</w:t>
            </w:r>
          </w:p>
        </w:tc>
        <w:tc>
          <w:tcPr>
            <w:tcW w:w="701" w:type="dxa"/>
            <w:tcBorders/>
            <w:shd w:fill="FFFFFF" w:val="clear"/>
            <w:vAlign w:val="center"/>
          </w:tcPr>
          <w:p>
            <w:pPr>
              <w:pStyle w:val="TableContents"/>
              <w:bidi w:val="0"/>
              <w:spacing w:before="0" w:after="283"/>
              <w:jc w:val="right"/>
              <w:rPr>
                <w:sz w:val="20"/>
              </w:rPr>
            </w:pPr>
            <w:r>
              <w:rPr>
                <w:sz w:val="20"/>
              </w:rPr>
              <w:t>100.00%</w:t>
            </w:r>
          </w:p>
        </w:tc>
        <w:tc>
          <w:tcPr>
            <w:tcW w:w="1289" w:type="dxa"/>
            <w:tcBorders/>
            <w:shd w:fill="FFFFFF"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D5EAEA" w:val="clear"/>
            <w:vAlign w:val="center"/>
          </w:tcPr>
          <w:p>
            <w:pPr>
              <w:pStyle w:val="TableContents"/>
              <w:bidi w:val="0"/>
              <w:spacing w:before="0" w:after="283"/>
              <w:jc w:val="left"/>
              <w:rPr>
                <w:sz w:val="20"/>
              </w:rPr>
            </w:pPr>
            <w:r>
              <w:rPr>
                <w:sz w:val="20"/>
              </w:rPr>
              <w:t>GPMS GP 3 LLP (No: SO306181)</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UK</w:t>
            </w:r>
          </w:p>
        </w:tc>
        <w:tc>
          <w:tcPr>
            <w:tcW w:w="470" w:type="dxa"/>
            <w:tcBorders/>
            <w:shd w:fill="D5EAEA" w:val="clear"/>
            <w:vAlign w:val="center"/>
          </w:tcPr>
          <w:p>
            <w:pPr>
              <w:pStyle w:val="TableContents"/>
              <w:bidi w:val="0"/>
              <w:spacing w:before="0" w:after="283"/>
              <w:jc w:val="center"/>
              <w:rPr>
                <w:sz w:val="20"/>
              </w:rPr>
            </w:pPr>
            <w:r>
              <w:rPr>
                <w:sz w:val="20"/>
              </w:rPr>
              <w:t>EUR</w:t>
            </w:r>
          </w:p>
        </w:tc>
        <w:tc>
          <w:tcPr>
            <w:tcW w:w="701" w:type="dxa"/>
            <w:tcBorders/>
            <w:shd w:fill="D5EAEA" w:val="clear"/>
            <w:vAlign w:val="center"/>
          </w:tcPr>
          <w:p>
            <w:pPr>
              <w:pStyle w:val="TableContents"/>
              <w:bidi w:val="0"/>
              <w:spacing w:before="0" w:after="283"/>
              <w:jc w:val="right"/>
              <w:rPr>
                <w:sz w:val="20"/>
              </w:rPr>
            </w:pPr>
            <w:r>
              <w:rPr>
                <w:sz w:val="20"/>
              </w:rPr>
              <w:t>100.00%</w:t>
            </w:r>
          </w:p>
        </w:tc>
        <w:tc>
          <w:tcPr>
            <w:tcW w:w="1289" w:type="dxa"/>
            <w:tcBorders/>
            <w:shd w:fill="D5EAEA"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FFFFFF" w:val="clear"/>
            <w:vAlign w:val="center"/>
          </w:tcPr>
          <w:p>
            <w:pPr>
              <w:pStyle w:val="TableContents"/>
              <w:bidi w:val="0"/>
              <w:spacing w:before="0" w:after="283"/>
              <w:jc w:val="left"/>
              <w:rPr>
                <w:sz w:val="20"/>
              </w:rPr>
            </w:pPr>
            <w:r>
              <w:rPr>
                <w:sz w:val="20"/>
              </w:rPr>
              <w:t>GPMS GP Commitment I GP LTD. (“GPMS”)</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Hanuman GP Cayman, LLC (“Hanuman”)</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KY</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Igah Carry Holding Ltd</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Carry vehicle</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Igah Partners LLC (“Igah”)</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US</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Ignis Cayman GP2 Limited (No: 271124)</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100.00%</w:t>
            </w:r>
          </w:p>
        </w:tc>
        <w:tc>
          <w:tcPr>
            <w:tcW w:w="1289" w:type="dxa"/>
            <w:tcBorders/>
            <w:shd w:fill="FFFFFF"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D5EAEA" w:val="clear"/>
            <w:vAlign w:val="center"/>
          </w:tcPr>
          <w:p>
            <w:pPr>
              <w:pStyle w:val="TableContents"/>
              <w:bidi w:val="0"/>
              <w:spacing w:before="0" w:after="283"/>
              <w:jc w:val="left"/>
              <w:rPr>
                <w:sz w:val="20"/>
              </w:rPr>
            </w:pPr>
            <w:r>
              <w:rPr>
                <w:sz w:val="20"/>
              </w:rPr>
              <w:t>Ignis Cayman GP3 Limited</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KY</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100.00%</w:t>
            </w:r>
          </w:p>
        </w:tc>
        <w:tc>
          <w:tcPr>
            <w:tcW w:w="1289" w:type="dxa"/>
            <w:tcBorders/>
            <w:shd w:fill="D5EAEA" w:val="clear"/>
            <w:vAlign w:val="center"/>
          </w:tcPr>
          <w:p>
            <w:pPr>
              <w:pStyle w:val="TableContents"/>
              <w:bidi w:val="0"/>
              <w:spacing w:before="0" w:after="283"/>
              <w:ind w:left="0" w:right="0" w:hanging="0"/>
              <w:jc w:val="right"/>
              <w:rPr>
                <w:sz w:val="20"/>
              </w:rPr>
            </w:pPr>
            <w:r>
              <w:rPr>
                <w:sz w:val="20"/>
              </w:rPr>
              <w:t>100.00%</w:t>
            </w:r>
          </w:p>
        </w:tc>
      </w:tr>
      <w:tr>
        <w:trPr/>
        <w:tc>
          <w:tcPr>
            <w:tcW w:w="4054" w:type="dxa"/>
            <w:tcBorders/>
            <w:shd w:fill="FFFFFF" w:val="clear"/>
            <w:vAlign w:val="center"/>
          </w:tcPr>
          <w:p>
            <w:pPr>
              <w:pStyle w:val="TableContents"/>
              <w:bidi w:val="0"/>
              <w:spacing w:before="0" w:after="283"/>
              <w:ind w:left="0" w:right="0" w:hanging="0"/>
              <w:jc w:val="left"/>
              <w:rPr>
                <w:sz w:val="20"/>
              </w:rPr>
            </w:pPr>
            <w:r>
              <w:rPr>
                <w:sz w:val="20"/>
              </w:rPr>
              <w:t>Infrastructure Fund III GP, L.L.C.</w:t>
            </w:r>
          </w:p>
        </w:tc>
        <w:tc>
          <w:tcPr>
            <w:tcW w:w="250" w:type="dxa"/>
            <w:tcBorders/>
            <w:shd w:fill="FFFFFF" w:val="clear"/>
            <w:vAlign w:val="center"/>
          </w:tcPr>
          <w:p>
            <w:pPr>
              <w:pStyle w:val="TableContents"/>
              <w:bidi w:val="0"/>
              <w:spacing w:before="0" w:after="283"/>
              <w:ind w:left="0" w:right="0" w:hanging="0"/>
              <w:jc w:val="left"/>
              <w:rPr/>
            </w:pPr>
            <w:r>
              <w:rPr/>
              <w:t> </w:t>
            </w:r>
          </w:p>
        </w:tc>
        <w:tc>
          <w:tcPr>
            <w:tcW w:w="2491" w:type="dxa"/>
            <w:tcBorders/>
            <w:shd w:fill="FFFFFF" w:val="clear"/>
            <w:vAlign w:val="center"/>
          </w:tcPr>
          <w:p>
            <w:pPr>
              <w:pStyle w:val="TableContents"/>
              <w:bidi w:val="0"/>
              <w:spacing w:before="0" w:after="283"/>
              <w:jc w:val="left"/>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US</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100.00</w:t>
              <w:tab/>
              <w:t>%</w:t>
            </w:r>
          </w:p>
        </w:tc>
      </w:tr>
      <w:tr>
        <w:trPr/>
        <w:tc>
          <w:tcPr>
            <w:tcW w:w="4054" w:type="dxa"/>
            <w:tcBorders/>
            <w:shd w:fill="D5EAEA" w:val="clear"/>
            <w:vAlign w:val="center"/>
          </w:tcPr>
          <w:p>
            <w:pPr>
              <w:pStyle w:val="TableContents"/>
              <w:bidi w:val="0"/>
              <w:spacing w:before="0" w:after="283"/>
              <w:jc w:val="left"/>
              <w:rPr>
                <w:sz w:val="20"/>
              </w:rPr>
            </w:pPr>
            <w:r>
              <w:rPr>
                <w:sz w:val="20"/>
              </w:rPr>
              <w:t>Infrastructure II GP, Ltd.</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Investment fund manager</w:t>
            </w:r>
          </w:p>
        </w:tc>
        <w:tc>
          <w:tcPr>
            <w:tcW w:w="950" w:type="dxa"/>
            <w:tcBorders/>
            <w:shd w:fill="D5EAEA" w:val="clear"/>
            <w:vAlign w:val="center"/>
          </w:tcPr>
          <w:p>
            <w:pPr>
              <w:pStyle w:val="TableContents"/>
              <w:bidi w:val="0"/>
              <w:spacing w:before="0" w:after="283"/>
              <w:jc w:val="center"/>
              <w:rPr>
                <w:sz w:val="20"/>
              </w:rPr>
            </w:pPr>
            <w:r>
              <w:rPr>
                <w:sz w:val="20"/>
              </w:rPr>
              <w:t>KY</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100.00</w:t>
              <w:tab/>
              <w:t>%</w:t>
            </w:r>
          </w:p>
        </w:tc>
      </w:tr>
      <w:tr>
        <w:trPr/>
        <w:tc>
          <w:tcPr>
            <w:tcW w:w="4054" w:type="dxa"/>
            <w:tcBorders/>
            <w:shd w:fill="FFFFFF" w:val="clear"/>
            <w:vAlign w:val="center"/>
          </w:tcPr>
          <w:p>
            <w:pPr>
              <w:pStyle w:val="TableContents"/>
              <w:bidi w:val="0"/>
              <w:spacing w:before="0" w:after="283"/>
              <w:jc w:val="left"/>
              <w:rPr>
                <w:sz w:val="20"/>
              </w:rPr>
            </w:pPr>
            <w:r>
              <w:rPr>
                <w:sz w:val="20"/>
              </w:rPr>
              <w:t>Infrastructure III SLP Ltd.</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Investment fund manager &amp; advisory</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Infrastructure Investments III GP, L.L.C.</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US</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Infrastructure Opportunities III GP, L.L.C.</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US</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Iter Gestora de Recursos S.A. ("Iter")</w:t>
            </w:r>
          </w:p>
        </w:tc>
        <w:tc>
          <w:tcPr>
            <w:tcW w:w="250" w:type="dxa"/>
            <w:tcBorders/>
            <w:shd w:fill="D5EAEA" w:val="clear"/>
            <w:vAlign w:val="center"/>
          </w:tcPr>
          <w:p>
            <w:pPr>
              <w:pStyle w:val="TableContents"/>
              <w:bidi w:val="0"/>
              <w:spacing w:before="0" w:after="283"/>
              <w:jc w:val="center"/>
              <w:rPr>
                <w:sz w:val="20"/>
              </w:rPr>
            </w:pPr>
            <w:r>
              <w:rPr>
                <w:sz w:val="20"/>
              </w:rPr>
              <w:t>(a)</w:t>
            </w:r>
          </w:p>
        </w:tc>
        <w:tc>
          <w:tcPr>
            <w:tcW w:w="2491" w:type="dxa"/>
            <w:tcBorders/>
            <w:shd w:fill="D5EAEA" w:val="clear"/>
            <w:vAlign w:val="center"/>
          </w:tcPr>
          <w:p>
            <w:pPr>
              <w:pStyle w:val="TableContents"/>
              <w:bidi w:val="0"/>
              <w:spacing w:before="0" w:after="283"/>
              <w:jc w:val="center"/>
              <w:rPr>
                <w:sz w:val="20"/>
              </w:rPr>
            </w:pPr>
            <w:r>
              <w:rPr>
                <w:sz w:val="20"/>
              </w:rPr>
              <w:t>Asset management &amp; administration</w:t>
            </w:r>
          </w:p>
        </w:tc>
        <w:tc>
          <w:tcPr>
            <w:tcW w:w="950" w:type="dxa"/>
            <w:tcBorders/>
            <w:shd w:fill="D5EAEA" w:val="clear"/>
            <w:vAlign w:val="center"/>
          </w:tcPr>
          <w:p>
            <w:pPr>
              <w:pStyle w:val="TableContents"/>
              <w:bidi w:val="0"/>
              <w:spacing w:before="0" w:after="283"/>
              <w:jc w:val="center"/>
              <w:rPr>
                <w:sz w:val="20"/>
              </w:rPr>
            </w:pPr>
            <w:r>
              <w:rPr>
                <w:sz w:val="20"/>
              </w:rPr>
              <w:t>BR</w:t>
            </w:r>
          </w:p>
        </w:tc>
        <w:tc>
          <w:tcPr>
            <w:tcW w:w="470" w:type="dxa"/>
            <w:tcBorders/>
            <w:shd w:fill="D5EAEA" w:val="clear"/>
            <w:vAlign w:val="center"/>
          </w:tcPr>
          <w:p>
            <w:pPr>
              <w:pStyle w:val="TableContents"/>
              <w:bidi w:val="0"/>
              <w:spacing w:before="0" w:after="283"/>
              <w:jc w:val="center"/>
              <w:rPr>
                <w:sz w:val="20"/>
              </w:rPr>
            </w:pPr>
            <w:r>
              <w:rPr>
                <w:sz w:val="20"/>
              </w:rPr>
              <w:t>BRL</w:t>
            </w:r>
          </w:p>
        </w:tc>
        <w:tc>
          <w:tcPr>
            <w:tcW w:w="701" w:type="dxa"/>
            <w:tcBorders/>
            <w:shd w:fill="D5EAEA" w:val="clear"/>
            <w:vAlign w:val="center"/>
          </w:tcPr>
          <w:p>
            <w:pPr>
              <w:pStyle w:val="TableContents"/>
              <w:bidi w:val="0"/>
              <w:spacing w:before="0" w:after="283"/>
              <w:jc w:val="right"/>
              <w:rPr>
                <w:sz w:val="20"/>
              </w:rPr>
            </w:pPr>
            <w:r>
              <w:rPr>
                <w:sz w:val="20"/>
              </w:rPr>
              <w:t>26.01 %</w:t>
            </w:r>
          </w:p>
        </w:tc>
        <w:tc>
          <w:tcPr>
            <w:tcW w:w="1289" w:type="dxa"/>
            <w:tcBorders/>
            <w:shd w:fill="D5EAEA" w:val="clear"/>
            <w:vAlign w:val="center"/>
          </w:tcPr>
          <w:p>
            <w:pPr>
              <w:pStyle w:val="TableContents"/>
              <w:bidi w:val="0"/>
              <w:spacing w:before="0" w:after="283"/>
              <w:ind w:left="0" w:right="0" w:hanging="0"/>
              <w:jc w:val="right"/>
              <w:rPr>
                <w:sz w:val="20"/>
              </w:rPr>
            </w:pPr>
            <w:r>
              <w:rPr>
                <w:sz w:val="20"/>
              </w:rPr>
              <w:t>-</w:t>
            </w:r>
          </w:p>
        </w:tc>
      </w:tr>
      <w:tr>
        <w:trPr/>
        <w:tc>
          <w:tcPr>
            <w:tcW w:w="4054" w:type="dxa"/>
            <w:tcBorders/>
            <w:shd w:fill="FFFFFF" w:val="clear"/>
            <w:vAlign w:val="center"/>
          </w:tcPr>
          <w:p>
            <w:pPr>
              <w:pStyle w:val="TableContents"/>
              <w:bidi w:val="0"/>
              <w:spacing w:before="0" w:after="283"/>
              <w:jc w:val="left"/>
              <w:rPr>
                <w:sz w:val="20"/>
              </w:rPr>
            </w:pPr>
            <w:r>
              <w:rPr>
                <w:sz w:val="20"/>
              </w:rPr>
              <w:t>KMP I Holding</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Holding company</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Latam Core I GP</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KY</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Moneda Asset Management SpA (“MAM I”)</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Holding company</w:t>
            </w:r>
          </w:p>
        </w:tc>
        <w:tc>
          <w:tcPr>
            <w:tcW w:w="950" w:type="dxa"/>
            <w:tcBorders/>
            <w:shd w:fill="FFFFFF" w:val="clear"/>
            <w:vAlign w:val="center"/>
          </w:tcPr>
          <w:p>
            <w:pPr>
              <w:pStyle w:val="TableContents"/>
              <w:bidi w:val="0"/>
              <w:spacing w:before="0" w:after="283"/>
              <w:jc w:val="center"/>
              <w:rPr>
                <w:sz w:val="20"/>
              </w:rPr>
            </w:pPr>
            <w:r>
              <w:rPr>
                <w:sz w:val="20"/>
              </w:rPr>
              <w:t>CH</w:t>
            </w:r>
          </w:p>
        </w:tc>
        <w:tc>
          <w:tcPr>
            <w:tcW w:w="470" w:type="dxa"/>
            <w:tcBorders/>
            <w:shd w:fill="FFFFFF" w:val="clear"/>
            <w:vAlign w:val="center"/>
          </w:tcPr>
          <w:p>
            <w:pPr>
              <w:pStyle w:val="TableContents"/>
              <w:bidi w:val="0"/>
              <w:spacing w:before="0" w:after="283"/>
              <w:jc w:val="center"/>
              <w:rPr>
                <w:sz w:val="20"/>
              </w:rPr>
            </w:pPr>
            <w:r>
              <w:rPr>
                <w:sz w:val="20"/>
              </w:rPr>
              <w:t>CLP</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Moneda Corredores de Bolsa Limitada (“MCB”)</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Broker</w:t>
            </w:r>
          </w:p>
        </w:tc>
        <w:tc>
          <w:tcPr>
            <w:tcW w:w="950" w:type="dxa"/>
            <w:tcBorders/>
            <w:shd w:fill="D5EAEA" w:val="clear"/>
            <w:vAlign w:val="center"/>
          </w:tcPr>
          <w:p>
            <w:pPr>
              <w:pStyle w:val="TableContents"/>
              <w:bidi w:val="0"/>
              <w:spacing w:before="0" w:after="283"/>
              <w:jc w:val="center"/>
              <w:rPr>
                <w:sz w:val="20"/>
              </w:rPr>
            </w:pPr>
            <w:r>
              <w:rPr>
                <w:sz w:val="20"/>
              </w:rPr>
              <w:t>CH</w:t>
            </w:r>
          </w:p>
        </w:tc>
        <w:tc>
          <w:tcPr>
            <w:tcW w:w="470" w:type="dxa"/>
            <w:tcBorders/>
            <w:shd w:fill="D5EAEA" w:val="clear"/>
            <w:vAlign w:val="center"/>
          </w:tcPr>
          <w:p>
            <w:pPr>
              <w:pStyle w:val="TableContents"/>
              <w:bidi w:val="0"/>
              <w:spacing w:before="0" w:after="283"/>
              <w:jc w:val="center"/>
              <w:rPr>
                <w:sz w:val="20"/>
              </w:rPr>
            </w:pPr>
            <w:r>
              <w:rPr>
                <w:sz w:val="20"/>
              </w:rPr>
              <w:t>CLP</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Moneda II SpA (“MAM II”)</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Holding company</w:t>
            </w:r>
          </w:p>
        </w:tc>
        <w:tc>
          <w:tcPr>
            <w:tcW w:w="950" w:type="dxa"/>
            <w:tcBorders/>
            <w:shd w:fill="FFFFFF" w:val="clear"/>
            <w:vAlign w:val="center"/>
          </w:tcPr>
          <w:p>
            <w:pPr>
              <w:pStyle w:val="TableContents"/>
              <w:bidi w:val="0"/>
              <w:spacing w:before="0" w:after="283"/>
              <w:jc w:val="center"/>
              <w:rPr>
                <w:sz w:val="20"/>
              </w:rPr>
            </w:pPr>
            <w:r>
              <w:rPr>
                <w:sz w:val="20"/>
              </w:rPr>
              <w:t>CH</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Moneda International Inc.</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Investment fund manager</w:t>
            </w:r>
          </w:p>
        </w:tc>
        <w:tc>
          <w:tcPr>
            <w:tcW w:w="950" w:type="dxa"/>
            <w:tcBorders/>
            <w:shd w:fill="D5EAEA" w:val="clear"/>
            <w:vAlign w:val="center"/>
          </w:tcPr>
          <w:p>
            <w:pPr>
              <w:pStyle w:val="TableContents"/>
              <w:bidi w:val="0"/>
              <w:spacing w:before="0" w:after="283"/>
              <w:jc w:val="center"/>
              <w:rPr>
                <w:sz w:val="20"/>
              </w:rPr>
            </w:pPr>
            <w:r>
              <w:rPr>
                <w:sz w:val="20"/>
              </w:rPr>
              <w:t>BV</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Moneda Investments S.A.C.</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PE</w:t>
            </w:r>
          </w:p>
        </w:tc>
        <w:tc>
          <w:tcPr>
            <w:tcW w:w="470" w:type="dxa"/>
            <w:tcBorders/>
            <w:shd w:fill="FFFFFF" w:val="clear"/>
            <w:vAlign w:val="center"/>
          </w:tcPr>
          <w:p>
            <w:pPr>
              <w:pStyle w:val="TableContents"/>
              <w:bidi w:val="0"/>
              <w:spacing w:before="0" w:after="283"/>
              <w:jc w:val="center"/>
              <w:rPr>
                <w:sz w:val="20"/>
              </w:rPr>
            </w:pPr>
            <w:r>
              <w:rPr>
                <w:sz w:val="20"/>
              </w:rPr>
              <w:t>PEN</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100.00 %</w:t>
            </w:r>
          </w:p>
        </w:tc>
      </w:tr>
      <w:tr>
        <w:trPr/>
        <w:tc>
          <w:tcPr>
            <w:tcW w:w="4054" w:type="dxa"/>
            <w:tcBorders/>
            <w:shd w:fill="D5EAEA" w:val="clear"/>
            <w:vAlign w:val="center"/>
          </w:tcPr>
          <w:p>
            <w:pPr>
              <w:pStyle w:val="TableContents"/>
              <w:bidi w:val="0"/>
              <w:spacing w:before="0" w:after="283"/>
              <w:jc w:val="left"/>
              <w:rPr>
                <w:sz w:val="20"/>
              </w:rPr>
            </w:pPr>
            <w:r>
              <w:rPr>
                <w:sz w:val="20"/>
              </w:rPr>
              <w:t>Moneda Patria S.A. Administradora General De Fondos (“MAGF”)</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CH</w:t>
            </w:r>
          </w:p>
        </w:tc>
        <w:tc>
          <w:tcPr>
            <w:tcW w:w="470" w:type="dxa"/>
            <w:tcBorders/>
            <w:shd w:fill="D5EAEA" w:val="clear"/>
            <w:vAlign w:val="center"/>
          </w:tcPr>
          <w:p>
            <w:pPr>
              <w:pStyle w:val="TableContents"/>
              <w:bidi w:val="0"/>
              <w:spacing w:before="0" w:after="283"/>
              <w:jc w:val="center"/>
              <w:rPr>
                <w:sz w:val="20"/>
              </w:rPr>
            </w:pPr>
            <w:r>
              <w:rPr>
                <w:sz w:val="20"/>
              </w:rPr>
              <w:t>CLP</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Moneda USA Inc.</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Advisory</w:t>
            </w:r>
          </w:p>
        </w:tc>
        <w:tc>
          <w:tcPr>
            <w:tcW w:w="950" w:type="dxa"/>
            <w:tcBorders/>
            <w:shd w:fill="FFFFFF" w:val="clear"/>
            <w:vAlign w:val="center"/>
          </w:tcPr>
          <w:p>
            <w:pPr>
              <w:pStyle w:val="TableContents"/>
              <w:bidi w:val="0"/>
              <w:spacing w:before="0" w:after="283"/>
              <w:jc w:val="center"/>
              <w:rPr>
                <w:sz w:val="20"/>
              </w:rPr>
            </w:pPr>
            <w:r>
              <w:rPr>
                <w:sz w:val="20"/>
              </w:rPr>
              <w:t>US</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Move Capital S.A. (“Move”)</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BR</w:t>
            </w:r>
          </w:p>
        </w:tc>
        <w:tc>
          <w:tcPr>
            <w:tcW w:w="470" w:type="dxa"/>
            <w:tcBorders/>
            <w:shd w:fill="D5EAEA" w:val="clear"/>
            <w:vAlign w:val="center"/>
          </w:tcPr>
          <w:p>
            <w:pPr>
              <w:pStyle w:val="TableContents"/>
              <w:bidi w:val="0"/>
              <w:spacing w:before="0" w:after="283"/>
              <w:jc w:val="center"/>
              <w:rPr>
                <w:sz w:val="20"/>
              </w:rPr>
            </w:pPr>
            <w:r>
              <w:rPr>
                <w:sz w:val="20"/>
              </w:rPr>
              <w:t>BRL</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Nexus Capital Partners S.A.S (“Nexus”)</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CO</w:t>
            </w:r>
          </w:p>
        </w:tc>
        <w:tc>
          <w:tcPr>
            <w:tcW w:w="470" w:type="dxa"/>
            <w:tcBorders/>
            <w:shd w:fill="FFFFFF" w:val="clear"/>
            <w:vAlign w:val="center"/>
          </w:tcPr>
          <w:p>
            <w:pPr>
              <w:pStyle w:val="TableContents"/>
              <w:bidi w:val="0"/>
              <w:spacing w:before="0" w:after="283"/>
              <w:jc w:val="center"/>
              <w:rPr>
                <w:sz w:val="20"/>
              </w:rPr>
            </w:pPr>
            <w:r>
              <w:rPr>
                <w:sz w:val="20"/>
              </w:rPr>
              <w:t>COP</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P2 Brasil Private Infrastructure Fund II GP, L.L.C.</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US</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P2 Infrastructure Investments GP, L.L.C.</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US</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P2 Infrastructure Opportunities GP, L.L.C.</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US</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Pat HoldCo Mexico S. de R.L. de C.V.</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Holding company</w:t>
            </w:r>
          </w:p>
        </w:tc>
        <w:tc>
          <w:tcPr>
            <w:tcW w:w="950" w:type="dxa"/>
            <w:tcBorders/>
            <w:shd w:fill="FFFFFF" w:val="clear"/>
            <w:vAlign w:val="center"/>
          </w:tcPr>
          <w:p>
            <w:pPr>
              <w:pStyle w:val="TableContents"/>
              <w:bidi w:val="0"/>
              <w:spacing w:before="0" w:after="283"/>
              <w:jc w:val="center"/>
              <w:rPr>
                <w:sz w:val="20"/>
              </w:rPr>
            </w:pPr>
            <w:r>
              <w:rPr>
                <w:sz w:val="20"/>
              </w:rPr>
              <w:t>MX</w:t>
            </w:r>
          </w:p>
        </w:tc>
        <w:tc>
          <w:tcPr>
            <w:tcW w:w="470" w:type="dxa"/>
            <w:tcBorders/>
            <w:shd w:fill="FFFFFF" w:val="clear"/>
            <w:vAlign w:val="center"/>
          </w:tcPr>
          <w:p>
            <w:pPr>
              <w:pStyle w:val="TableContents"/>
              <w:bidi w:val="0"/>
              <w:spacing w:before="0" w:after="283"/>
              <w:jc w:val="center"/>
              <w:rPr>
                <w:sz w:val="20"/>
              </w:rPr>
            </w:pPr>
            <w:r>
              <w:rPr>
                <w:sz w:val="20"/>
              </w:rPr>
              <w:t>MXN</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 HoldCo Servicios Corporativos S. de R.L. de C.V.</w:t>
            </w:r>
          </w:p>
        </w:tc>
        <w:tc>
          <w:tcPr>
            <w:tcW w:w="250" w:type="dxa"/>
            <w:tcBorders/>
            <w:shd w:fill="D5EAEA" w:val="clear"/>
            <w:vAlign w:val="center"/>
          </w:tcPr>
          <w:p>
            <w:pPr>
              <w:pStyle w:val="TableContents"/>
              <w:bidi w:val="0"/>
              <w:spacing w:before="0" w:after="283"/>
              <w:jc w:val="center"/>
              <w:rPr/>
            </w:pPr>
            <w:r>
              <w:rPr/>
              <w:t>(e)</w:t>
            </w:r>
          </w:p>
        </w:tc>
        <w:tc>
          <w:tcPr>
            <w:tcW w:w="2491" w:type="dxa"/>
            <w:tcBorders/>
            <w:shd w:fill="D5EAEA" w:val="clear"/>
            <w:vAlign w:val="center"/>
          </w:tcPr>
          <w:p>
            <w:pPr>
              <w:pStyle w:val="TableContents"/>
              <w:bidi w:val="0"/>
              <w:spacing w:before="0" w:after="283"/>
              <w:jc w:val="center"/>
              <w:rPr>
                <w:sz w:val="20"/>
              </w:rPr>
            </w:pPr>
            <w:r>
              <w:rPr>
                <w:sz w:val="20"/>
              </w:rPr>
              <w:t>Holding company</w:t>
            </w:r>
          </w:p>
        </w:tc>
        <w:tc>
          <w:tcPr>
            <w:tcW w:w="950" w:type="dxa"/>
            <w:tcBorders/>
            <w:shd w:fill="D5EAEA" w:val="clear"/>
            <w:vAlign w:val="center"/>
          </w:tcPr>
          <w:p>
            <w:pPr>
              <w:pStyle w:val="TableContents"/>
              <w:bidi w:val="0"/>
              <w:spacing w:before="0" w:after="283"/>
              <w:jc w:val="center"/>
              <w:rPr>
                <w:sz w:val="20"/>
              </w:rPr>
            </w:pPr>
            <w:r>
              <w:rPr>
                <w:sz w:val="20"/>
              </w:rPr>
              <w:t>MX</w:t>
            </w:r>
          </w:p>
        </w:tc>
        <w:tc>
          <w:tcPr>
            <w:tcW w:w="470" w:type="dxa"/>
            <w:tcBorders/>
            <w:shd w:fill="D5EAEA" w:val="clear"/>
            <w:vAlign w:val="center"/>
          </w:tcPr>
          <w:p>
            <w:pPr>
              <w:pStyle w:val="TableContents"/>
              <w:bidi w:val="0"/>
              <w:spacing w:before="0" w:after="283"/>
              <w:jc w:val="center"/>
              <w:rPr>
                <w:sz w:val="20"/>
              </w:rPr>
            </w:pPr>
            <w:r>
              <w:rPr>
                <w:sz w:val="20"/>
              </w:rPr>
              <w:t>MXN</w:t>
            </w:r>
          </w:p>
        </w:tc>
        <w:tc>
          <w:tcPr>
            <w:tcW w:w="701" w:type="dxa"/>
            <w:tcBorders/>
            <w:shd w:fill="D5EAEA" w:val="clear"/>
            <w:vAlign w:val="center"/>
          </w:tcPr>
          <w:p>
            <w:pPr>
              <w:pStyle w:val="TableContents"/>
              <w:bidi w:val="0"/>
              <w:spacing w:before="0" w:after="283"/>
              <w:jc w:val="right"/>
              <w:rPr>
                <w:sz w:val="20"/>
              </w:rPr>
            </w:pPr>
            <w:r>
              <w:rPr>
                <w:sz w:val="20"/>
              </w:rPr>
              <w:tab/>
              <w:t>51.00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51.00</w:t>
              <w:tab/>
              <w:t>%</w:t>
            </w:r>
          </w:p>
        </w:tc>
      </w:tr>
      <w:tr>
        <w:trPr/>
        <w:tc>
          <w:tcPr>
            <w:tcW w:w="4054" w:type="dxa"/>
            <w:tcBorders/>
            <w:shd w:fill="FFFFFF" w:val="clear"/>
            <w:vAlign w:val="center"/>
          </w:tcPr>
          <w:p>
            <w:pPr>
              <w:pStyle w:val="TableContents"/>
              <w:bidi w:val="0"/>
              <w:spacing w:before="0" w:after="283"/>
              <w:jc w:val="left"/>
              <w:rPr>
                <w:sz w:val="20"/>
              </w:rPr>
            </w:pPr>
            <w:r>
              <w:rPr>
                <w:sz w:val="20"/>
              </w:rPr>
              <w:t>Pat Inmuebles HoldCo Mexico S. de R.L. de C.V.</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Holding company</w:t>
            </w:r>
          </w:p>
        </w:tc>
        <w:tc>
          <w:tcPr>
            <w:tcW w:w="950" w:type="dxa"/>
            <w:tcBorders/>
            <w:shd w:fill="FFFFFF" w:val="clear"/>
            <w:vAlign w:val="center"/>
          </w:tcPr>
          <w:p>
            <w:pPr>
              <w:pStyle w:val="TableContents"/>
              <w:bidi w:val="0"/>
              <w:spacing w:before="0" w:after="283"/>
              <w:jc w:val="center"/>
              <w:rPr>
                <w:sz w:val="20"/>
              </w:rPr>
            </w:pPr>
            <w:r>
              <w:rPr>
                <w:sz w:val="20"/>
              </w:rPr>
              <w:t>MX</w:t>
            </w:r>
          </w:p>
        </w:tc>
        <w:tc>
          <w:tcPr>
            <w:tcW w:w="470" w:type="dxa"/>
            <w:tcBorders/>
            <w:shd w:fill="FFFFFF" w:val="clear"/>
            <w:vAlign w:val="center"/>
          </w:tcPr>
          <w:p>
            <w:pPr>
              <w:pStyle w:val="TableContents"/>
              <w:bidi w:val="0"/>
              <w:spacing w:before="0" w:after="283"/>
              <w:jc w:val="center"/>
              <w:rPr>
                <w:sz w:val="20"/>
              </w:rPr>
            </w:pPr>
            <w:r>
              <w:rPr>
                <w:sz w:val="20"/>
              </w:rPr>
              <w:t>MXN</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Patria Acquisitions Limited</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Holding company</w:t>
            </w:r>
          </w:p>
        </w:tc>
        <w:tc>
          <w:tcPr>
            <w:tcW w:w="950" w:type="dxa"/>
            <w:tcBorders/>
            <w:shd w:fill="D5EAEA" w:val="clear"/>
            <w:vAlign w:val="center"/>
          </w:tcPr>
          <w:p>
            <w:pPr>
              <w:pStyle w:val="TableContents"/>
              <w:bidi w:val="0"/>
              <w:spacing w:before="0" w:after="283"/>
              <w:jc w:val="center"/>
              <w:rPr>
                <w:sz w:val="20"/>
              </w:rPr>
            </w:pPr>
            <w:r>
              <w:rPr>
                <w:sz w:val="20"/>
              </w:rPr>
              <w:t>UK</w:t>
            </w:r>
          </w:p>
        </w:tc>
        <w:tc>
          <w:tcPr>
            <w:tcW w:w="470" w:type="dxa"/>
            <w:tcBorders/>
            <w:shd w:fill="D5EAEA" w:val="clear"/>
            <w:vAlign w:val="center"/>
          </w:tcPr>
          <w:p>
            <w:pPr>
              <w:pStyle w:val="TableContents"/>
              <w:bidi w:val="0"/>
              <w:spacing w:before="0" w:after="283"/>
              <w:jc w:val="center"/>
              <w:rPr>
                <w:sz w:val="20"/>
              </w:rPr>
            </w:pPr>
            <w:r>
              <w:rPr>
                <w:sz w:val="20"/>
              </w:rPr>
              <w:t>GBP</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Patria Alphaville GP, L.L.C.</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US</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Patria Asset Management S.A. (“PAM”)</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CO</w:t>
            </w:r>
          </w:p>
        </w:tc>
        <w:tc>
          <w:tcPr>
            <w:tcW w:w="470" w:type="dxa"/>
            <w:tcBorders/>
            <w:shd w:fill="D5EAEA" w:val="clear"/>
            <w:vAlign w:val="center"/>
          </w:tcPr>
          <w:p>
            <w:pPr>
              <w:pStyle w:val="TableContents"/>
              <w:bidi w:val="0"/>
              <w:spacing w:before="0" w:after="283"/>
              <w:jc w:val="center"/>
              <w:rPr>
                <w:sz w:val="20"/>
              </w:rPr>
            </w:pPr>
            <w:r>
              <w:rPr>
                <w:sz w:val="20"/>
              </w:rPr>
              <w:t>COP</w:t>
            </w:r>
          </w:p>
        </w:tc>
        <w:tc>
          <w:tcPr>
            <w:tcW w:w="701" w:type="dxa"/>
            <w:tcBorders/>
            <w:shd w:fill="D5EAEA" w:val="clear"/>
            <w:vAlign w:val="center"/>
          </w:tcPr>
          <w:p>
            <w:pPr>
              <w:pStyle w:val="TableContents"/>
              <w:bidi w:val="0"/>
              <w:spacing w:before="0" w:after="283"/>
              <w:jc w:val="right"/>
              <w:rPr>
                <w:sz w:val="20"/>
              </w:rPr>
            </w:pPr>
            <w:r>
              <w:rPr>
                <w:sz w:val="20"/>
              </w:rPr>
              <w:tab/>
              <w:t>50.74</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50.74</w:t>
              <w:tab/>
              <w:t>%</w:t>
            </w:r>
          </w:p>
        </w:tc>
      </w:tr>
      <w:tr>
        <w:trPr/>
        <w:tc>
          <w:tcPr>
            <w:tcW w:w="4054" w:type="dxa"/>
            <w:tcBorders/>
            <w:shd w:fill="FFFFFF" w:val="clear"/>
            <w:vAlign w:val="center"/>
          </w:tcPr>
          <w:p>
            <w:pPr>
              <w:pStyle w:val="TableContents"/>
              <w:bidi w:val="0"/>
              <w:spacing w:before="0" w:after="283"/>
              <w:jc w:val="left"/>
              <w:rPr>
                <w:sz w:val="20"/>
              </w:rPr>
            </w:pPr>
            <w:r>
              <w:rPr>
                <w:sz w:val="20"/>
              </w:rPr>
              <w:t>Patria Brazil RE Fund II GP, L.L.C.</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US</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Patria Brazil RE Fund III GP, L.L.C.</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US</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Patria Brazil Real Estate Fund General Partner II, Ltd.</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Investment fund manager</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Patria Brazil Real Estate Fund General Partner III Ltd.</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Investment fund manager</w:t>
            </w:r>
          </w:p>
        </w:tc>
        <w:tc>
          <w:tcPr>
            <w:tcW w:w="950" w:type="dxa"/>
            <w:tcBorders/>
            <w:shd w:fill="D5EAEA" w:val="clear"/>
            <w:vAlign w:val="center"/>
          </w:tcPr>
          <w:p>
            <w:pPr>
              <w:pStyle w:val="TableContents"/>
              <w:bidi w:val="0"/>
              <w:spacing w:before="0" w:after="283"/>
              <w:jc w:val="center"/>
              <w:rPr>
                <w:sz w:val="20"/>
              </w:rPr>
            </w:pPr>
            <w:r>
              <w:rPr>
                <w:sz w:val="20"/>
              </w:rPr>
              <w:t>KY</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Patria Brazil Retail Property Fund General Partner, Ltd.</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Investment fund manager</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Patria Brazilian Private Equity General Partner VI, Ltd.</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Investment fund manager</w:t>
            </w:r>
          </w:p>
        </w:tc>
        <w:tc>
          <w:tcPr>
            <w:tcW w:w="950" w:type="dxa"/>
            <w:tcBorders/>
            <w:shd w:fill="D5EAEA" w:val="clear"/>
            <w:vAlign w:val="center"/>
          </w:tcPr>
          <w:p>
            <w:pPr>
              <w:pStyle w:val="TableContents"/>
              <w:bidi w:val="0"/>
              <w:spacing w:before="0" w:after="283"/>
              <w:jc w:val="center"/>
              <w:rPr>
                <w:sz w:val="20"/>
              </w:rPr>
            </w:pPr>
            <w:r>
              <w:rPr>
                <w:sz w:val="20"/>
              </w:rPr>
              <w:t>KY</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Patria Brazilian Private Equity III, Ltd.</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Investment fund manager</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Patria Capital Partners LLP</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UK</w:t>
            </w:r>
          </w:p>
        </w:tc>
        <w:tc>
          <w:tcPr>
            <w:tcW w:w="470" w:type="dxa"/>
            <w:tcBorders/>
            <w:shd w:fill="D5EAEA" w:val="clear"/>
            <w:vAlign w:val="center"/>
          </w:tcPr>
          <w:p>
            <w:pPr>
              <w:pStyle w:val="TableContents"/>
              <w:bidi w:val="0"/>
              <w:spacing w:before="0" w:after="283"/>
              <w:jc w:val="center"/>
              <w:rPr>
                <w:sz w:val="20"/>
              </w:rPr>
            </w:pPr>
            <w:r>
              <w:rPr>
                <w:sz w:val="20"/>
              </w:rPr>
              <w:t>GBP</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Patria CIV GP</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Patria CIV PE VII GP</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Asset management</w:t>
            </w:r>
          </w:p>
        </w:tc>
        <w:tc>
          <w:tcPr>
            <w:tcW w:w="950" w:type="dxa"/>
            <w:tcBorders/>
            <w:shd w:fill="D5EAEA" w:val="clear"/>
            <w:vAlign w:val="center"/>
          </w:tcPr>
          <w:p>
            <w:pPr>
              <w:pStyle w:val="TableContents"/>
              <w:bidi w:val="0"/>
              <w:spacing w:before="0" w:after="283"/>
              <w:jc w:val="center"/>
              <w:rPr>
                <w:sz w:val="20"/>
              </w:rPr>
            </w:pPr>
            <w:r>
              <w:rPr>
                <w:sz w:val="20"/>
              </w:rPr>
              <w:t>KY</w:t>
            </w:r>
          </w:p>
        </w:tc>
        <w:tc>
          <w:tcPr>
            <w:tcW w:w="470" w:type="dxa"/>
            <w:tcBorders/>
            <w:shd w:fill="D5EAEA" w:val="clear"/>
            <w:vAlign w:val="center"/>
          </w:tcPr>
          <w:p>
            <w:pPr>
              <w:pStyle w:val="TableContents"/>
              <w:bidi w:val="0"/>
              <w:spacing w:before="0" w:after="283"/>
              <w:jc w:val="center"/>
              <w:rPr>
                <w:sz w:val="20"/>
              </w:rPr>
            </w:pPr>
            <w:r>
              <w:rPr>
                <w:sz w:val="20"/>
              </w:rPr>
              <w:t>USD</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Patria Constructivist Equity Fund General Partner II, Ltd.</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Investment fund manager</w:t>
            </w:r>
          </w:p>
        </w:tc>
        <w:tc>
          <w:tcPr>
            <w:tcW w:w="950" w:type="dxa"/>
            <w:tcBorders/>
            <w:shd w:fill="FFFFFF" w:val="clear"/>
            <w:vAlign w:val="center"/>
          </w:tcPr>
          <w:p>
            <w:pPr>
              <w:pStyle w:val="TableContents"/>
              <w:bidi w:val="0"/>
              <w:spacing w:before="0" w:after="283"/>
              <w:jc w:val="center"/>
              <w:rPr>
                <w:sz w:val="20"/>
              </w:rPr>
            </w:pPr>
            <w:r>
              <w:rPr>
                <w:sz w:val="20"/>
              </w:rPr>
              <w:t>KY</w:t>
            </w:r>
          </w:p>
        </w:tc>
        <w:tc>
          <w:tcPr>
            <w:tcW w:w="470" w:type="dxa"/>
            <w:tcBorders/>
            <w:shd w:fill="FFFFFF" w:val="clear"/>
            <w:vAlign w:val="center"/>
          </w:tcPr>
          <w:p>
            <w:pPr>
              <w:pStyle w:val="TableContents"/>
              <w:bidi w:val="0"/>
              <w:spacing w:before="0" w:after="283"/>
              <w:jc w:val="center"/>
              <w:rPr>
                <w:sz w:val="20"/>
              </w:rPr>
            </w:pPr>
            <w:r>
              <w:rPr>
                <w:sz w:val="20"/>
              </w:rPr>
              <w:t>USD</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Patria Consulting Beijing Ltd.</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Investor relations &amp; administration</w:t>
            </w:r>
          </w:p>
        </w:tc>
        <w:tc>
          <w:tcPr>
            <w:tcW w:w="950" w:type="dxa"/>
            <w:tcBorders/>
            <w:shd w:fill="D5EAEA" w:val="clear"/>
            <w:vAlign w:val="center"/>
          </w:tcPr>
          <w:p>
            <w:pPr>
              <w:pStyle w:val="TableContents"/>
              <w:bidi w:val="0"/>
              <w:spacing w:before="0" w:after="283"/>
              <w:jc w:val="center"/>
              <w:rPr/>
            </w:pPr>
            <w:r>
              <w:rPr/>
              <w:t> </w:t>
            </w:r>
            <w:r>
              <w:rPr>
                <w:sz w:val="20"/>
              </w:rPr>
              <w:t>CN</w:t>
            </w:r>
          </w:p>
        </w:tc>
        <w:tc>
          <w:tcPr>
            <w:tcW w:w="470" w:type="dxa"/>
            <w:tcBorders/>
            <w:shd w:fill="D5EAEA" w:val="clear"/>
            <w:vAlign w:val="center"/>
          </w:tcPr>
          <w:p>
            <w:pPr>
              <w:pStyle w:val="TableContents"/>
              <w:bidi w:val="0"/>
              <w:spacing w:before="0" w:after="283"/>
              <w:jc w:val="center"/>
              <w:rPr>
                <w:sz w:val="20"/>
              </w:rPr>
            </w:pPr>
            <w:r>
              <w:rPr>
                <w:sz w:val="20"/>
              </w:rPr>
              <w:t>CNY</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               -</w:t>
            </w:r>
          </w:p>
        </w:tc>
      </w:tr>
      <w:tr>
        <w:trPr/>
        <w:tc>
          <w:tcPr>
            <w:tcW w:w="4054" w:type="dxa"/>
            <w:tcBorders/>
            <w:shd w:fill="FFFFFF" w:val="clear"/>
            <w:vAlign w:val="center"/>
          </w:tcPr>
          <w:p>
            <w:pPr>
              <w:pStyle w:val="TableContents"/>
              <w:bidi w:val="0"/>
              <w:spacing w:before="0" w:after="283"/>
              <w:jc w:val="left"/>
              <w:rPr>
                <w:sz w:val="20"/>
              </w:rPr>
            </w:pPr>
            <w:r>
              <w:rPr>
                <w:sz w:val="20"/>
              </w:rPr>
              <w:t>Patria CP Holdings Limited</w:t>
            </w:r>
          </w:p>
        </w:tc>
        <w:tc>
          <w:tcPr>
            <w:tcW w:w="250" w:type="dxa"/>
            <w:tcBorders/>
            <w:shd w:fill="FFFFFF" w:val="clear"/>
            <w:vAlign w:val="center"/>
          </w:tcPr>
          <w:p>
            <w:pPr>
              <w:pStyle w:val="TableContents"/>
              <w:bidi w:val="0"/>
              <w:spacing w:before="0" w:after="283"/>
              <w:jc w:val="center"/>
              <w:rPr/>
            </w:pPr>
            <w:r>
              <w:rPr/>
              <w:t> </w:t>
            </w:r>
          </w:p>
        </w:tc>
        <w:tc>
          <w:tcPr>
            <w:tcW w:w="2491" w:type="dxa"/>
            <w:tcBorders/>
            <w:shd w:fill="FFFFFF" w:val="clear"/>
            <w:vAlign w:val="center"/>
          </w:tcPr>
          <w:p>
            <w:pPr>
              <w:pStyle w:val="TableContents"/>
              <w:bidi w:val="0"/>
              <w:spacing w:before="0" w:after="283"/>
              <w:jc w:val="center"/>
              <w:rPr>
                <w:sz w:val="20"/>
              </w:rPr>
            </w:pPr>
            <w:r>
              <w:rPr>
                <w:sz w:val="20"/>
              </w:rPr>
              <w:t>Asset management</w:t>
            </w:r>
          </w:p>
        </w:tc>
        <w:tc>
          <w:tcPr>
            <w:tcW w:w="950" w:type="dxa"/>
            <w:tcBorders/>
            <w:shd w:fill="FFFFFF" w:val="clear"/>
            <w:vAlign w:val="center"/>
          </w:tcPr>
          <w:p>
            <w:pPr>
              <w:pStyle w:val="TableContents"/>
              <w:bidi w:val="0"/>
              <w:spacing w:before="0" w:after="283"/>
              <w:jc w:val="center"/>
              <w:rPr>
                <w:sz w:val="20"/>
              </w:rPr>
            </w:pPr>
            <w:r>
              <w:rPr>
                <w:sz w:val="20"/>
              </w:rPr>
              <w:t>UK</w:t>
            </w:r>
          </w:p>
        </w:tc>
        <w:tc>
          <w:tcPr>
            <w:tcW w:w="470" w:type="dxa"/>
            <w:tcBorders/>
            <w:shd w:fill="FFFFFF" w:val="clear"/>
            <w:vAlign w:val="center"/>
          </w:tcPr>
          <w:p>
            <w:pPr>
              <w:pStyle w:val="TableContents"/>
              <w:bidi w:val="0"/>
              <w:spacing w:before="0" w:after="283"/>
              <w:jc w:val="center"/>
              <w:rPr>
                <w:sz w:val="20"/>
              </w:rPr>
            </w:pPr>
            <w:r>
              <w:rPr>
                <w:sz w:val="20"/>
              </w:rPr>
              <w:t>GBP</w:t>
            </w:r>
          </w:p>
        </w:tc>
        <w:tc>
          <w:tcPr>
            <w:tcW w:w="701" w:type="dxa"/>
            <w:tcBorders/>
            <w:shd w:fill="FFFFFF" w:val="clear"/>
            <w:vAlign w:val="center"/>
          </w:tcPr>
          <w:p>
            <w:pPr>
              <w:pStyle w:val="TableContents"/>
              <w:bidi w:val="0"/>
              <w:spacing w:before="0" w:after="283"/>
              <w:jc w:val="right"/>
              <w:rPr>
                <w:sz w:val="20"/>
              </w:rPr>
            </w:pPr>
            <w:r>
              <w:rPr>
                <w:sz w:val="20"/>
              </w:rPr>
              <w:tab/>
              <w:t>100.00</w:t>
              <w:tab/>
              <w:t>%</w:t>
            </w:r>
          </w:p>
        </w:tc>
        <w:tc>
          <w:tcPr>
            <w:tcW w:w="1289"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Patria Distribuidora de Títulos e Valores Mobiliários Ltda.</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Dormant</w:t>
            </w:r>
          </w:p>
        </w:tc>
        <w:tc>
          <w:tcPr>
            <w:tcW w:w="950" w:type="dxa"/>
            <w:tcBorders/>
            <w:shd w:fill="D5EAEA" w:val="clear"/>
            <w:vAlign w:val="center"/>
          </w:tcPr>
          <w:p>
            <w:pPr>
              <w:pStyle w:val="TableContents"/>
              <w:bidi w:val="0"/>
              <w:spacing w:before="0" w:after="283"/>
              <w:jc w:val="center"/>
              <w:rPr>
                <w:sz w:val="20"/>
              </w:rPr>
            </w:pPr>
            <w:r>
              <w:rPr>
                <w:sz w:val="20"/>
              </w:rPr>
              <w:t>BR</w:t>
            </w:r>
          </w:p>
        </w:tc>
        <w:tc>
          <w:tcPr>
            <w:tcW w:w="470" w:type="dxa"/>
            <w:tcBorders/>
            <w:shd w:fill="D5EAEA" w:val="clear"/>
            <w:vAlign w:val="center"/>
          </w:tcPr>
          <w:p>
            <w:pPr>
              <w:pStyle w:val="TableContents"/>
              <w:bidi w:val="0"/>
              <w:spacing w:before="0" w:after="283"/>
              <w:jc w:val="center"/>
              <w:rPr>
                <w:sz w:val="20"/>
              </w:rPr>
            </w:pPr>
            <w:r>
              <w:rPr>
                <w:sz w:val="20"/>
              </w:rPr>
              <w:t>BRL</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054" w:type="dxa"/>
            <w:tcBorders/>
            <w:shd w:fill="FFFFFF" w:val="clear"/>
            <w:vAlign w:val="center"/>
          </w:tcPr>
          <w:p>
            <w:pPr>
              <w:pStyle w:val="TableContents"/>
              <w:bidi w:val="0"/>
              <w:spacing w:before="0" w:after="283"/>
              <w:jc w:val="left"/>
              <w:rPr>
                <w:sz w:val="20"/>
              </w:rPr>
            </w:pPr>
            <w:r>
              <w:rPr>
                <w:sz w:val="20"/>
              </w:rPr>
              <w:t>Patria Energía Participações Ltda.</w:t>
            </w:r>
          </w:p>
        </w:tc>
        <w:tc>
          <w:tcPr>
            <w:tcW w:w="250" w:type="dxa"/>
            <w:tcBorders/>
            <w:shd w:fill="FFFFFF" w:val="clear"/>
            <w:vAlign w:val="center"/>
          </w:tcPr>
          <w:p>
            <w:pPr>
              <w:pStyle w:val="TableContents"/>
              <w:bidi w:val="0"/>
              <w:spacing w:before="0" w:after="283"/>
              <w:jc w:val="center"/>
              <w:rPr/>
            </w:pPr>
            <w:r>
              <w:rPr/>
              <w:t>(f)</w:t>
            </w:r>
          </w:p>
        </w:tc>
        <w:tc>
          <w:tcPr>
            <w:tcW w:w="2491" w:type="dxa"/>
            <w:tcBorders/>
            <w:shd w:fill="FFFFFF" w:val="clear"/>
            <w:vAlign w:val="center"/>
          </w:tcPr>
          <w:p>
            <w:pPr>
              <w:pStyle w:val="TableContents"/>
              <w:bidi w:val="0"/>
              <w:spacing w:before="0" w:after="283"/>
              <w:jc w:val="center"/>
              <w:rPr>
                <w:sz w:val="20"/>
              </w:rPr>
            </w:pPr>
            <w:r>
              <w:rPr>
                <w:sz w:val="20"/>
              </w:rPr>
              <w:t>Holding company</w:t>
            </w:r>
          </w:p>
        </w:tc>
        <w:tc>
          <w:tcPr>
            <w:tcW w:w="950" w:type="dxa"/>
            <w:tcBorders/>
            <w:shd w:fill="FFFFFF" w:val="clear"/>
            <w:vAlign w:val="center"/>
          </w:tcPr>
          <w:p>
            <w:pPr>
              <w:pStyle w:val="TableContents"/>
              <w:bidi w:val="0"/>
              <w:spacing w:before="0" w:after="283"/>
              <w:jc w:val="left"/>
              <w:rPr/>
            </w:pPr>
            <w:r>
              <w:rPr/>
              <w:t>           </w:t>
            </w:r>
            <w:r>
              <w:rPr>
                <w:sz w:val="20"/>
              </w:rPr>
              <w:t>BR</w:t>
            </w:r>
          </w:p>
        </w:tc>
        <w:tc>
          <w:tcPr>
            <w:tcW w:w="470" w:type="dxa"/>
            <w:tcBorders/>
            <w:shd w:fill="FFFFFF" w:val="clear"/>
            <w:vAlign w:val="center"/>
          </w:tcPr>
          <w:p>
            <w:pPr>
              <w:pStyle w:val="TableContents"/>
              <w:bidi w:val="0"/>
              <w:spacing w:before="0" w:after="283"/>
              <w:jc w:val="center"/>
              <w:rPr/>
            </w:pPr>
            <w:r>
              <w:rPr/>
              <w:t> </w:t>
            </w:r>
            <w:r>
              <w:rPr>
                <w:sz w:val="20"/>
              </w:rPr>
              <w:t>BRL</w:t>
            </w:r>
          </w:p>
        </w:tc>
        <w:tc>
          <w:tcPr>
            <w:tcW w:w="701" w:type="dxa"/>
            <w:tcBorders/>
            <w:shd w:fill="FFFFFF" w:val="clear"/>
            <w:vAlign w:val="center"/>
          </w:tcPr>
          <w:p>
            <w:pPr>
              <w:pStyle w:val="TableContents"/>
              <w:bidi w:val="0"/>
              <w:spacing w:before="0" w:after="283"/>
              <w:jc w:val="right"/>
              <w:rPr>
                <w:sz w:val="20"/>
              </w:rPr>
            </w:pPr>
            <w:r>
              <w:rPr>
                <w:sz w:val="20"/>
              </w:rPr>
              <w:t>-</w:t>
            </w:r>
          </w:p>
        </w:tc>
        <w:tc>
          <w:tcPr>
            <w:tcW w:w="1289" w:type="dxa"/>
            <w:tcBorders/>
            <w:shd w:fill="FFFFFF" w:val="clear"/>
            <w:vAlign w:val="center"/>
          </w:tcPr>
          <w:p>
            <w:pPr>
              <w:pStyle w:val="TableContents"/>
              <w:bidi w:val="0"/>
              <w:spacing w:before="0" w:after="283"/>
              <w:ind w:left="0" w:right="0" w:hanging="0"/>
              <w:jc w:val="right"/>
              <w:rPr/>
            </w:pPr>
            <w:r>
              <w:rPr/>
              <w:t>         </w:t>
            </w:r>
            <w:r>
              <w:rPr>
                <w:sz w:val="20"/>
              </w:rPr>
              <w:t>100.00</w:t>
              <w:tab/>
              <w:t>%.</w:t>
            </w:r>
          </w:p>
        </w:tc>
      </w:tr>
      <w:tr>
        <w:trPr/>
        <w:tc>
          <w:tcPr>
            <w:tcW w:w="4054" w:type="dxa"/>
            <w:tcBorders/>
            <w:shd w:fill="D5EAEA" w:val="clear"/>
            <w:vAlign w:val="center"/>
          </w:tcPr>
          <w:p>
            <w:pPr>
              <w:pStyle w:val="TableContents"/>
              <w:bidi w:val="0"/>
              <w:spacing w:before="0" w:after="283"/>
              <w:jc w:val="left"/>
              <w:rPr>
                <w:sz w:val="20"/>
              </w:rPr>
            </w:pPr>
            <w:r>
              <w:rPr>
                <w:sz w:val="20"/>
              </w:rPr>
              <w:t>Patria Europe 1 (GP) Limited</w:t>
            </w:r>
          </w:p>
        </w:tc>
        <w:tc>
          <w:tcPr>
            <w:tcW w:w="250" w:type="dxa"/>
            <w:tcBorders/>
            <w:shd w:fill="D5EAEA" w:val="clear"/>
            <w:vAlign w:val="center"/>
          </w:tcPr>
          <w:p>
            <w:pPr>
              <w:pStyle w:val="TableContents"/>
              <w:bidi w:val="0"/>
              <w:spacing w:before="0" w:after="283"/>
              <w:jc w:val="center"/>
              <w:rPr/>
            </w:pPr>
            <w:r>
              <w:rPr/>
              <w:t> </w:t>
            </w:r>
          </w:p>
        </w:tc>
        <w:tc>
          <w:tcPr>
            <w:tcW w:w="2491" w:type="dxa"/>
            <w:tcBorders/>
            <w:shd w:fill="D5EAEA" w:val="clear"/>
            <w:vAlign w:val="center"/>
          </w:tcPr>
          <w:p>
            <w:pPr>
              <w:pStyle w:val="TableContents"/>
              <w:bidi w:val="0"/>
              <w:spacing w:before="0" w:after="283"/>
              <w:jc w:val="center"/>
              <w:rPr>
                <w:sz w:val="20"/>
              </w:rPr>
            </w:pPr>
            <w:r>
              <w:rPr>
                <w:sz w:val="20"/>
              </w:rPr>
              <w:t>Investment fund manager</w:t>
            </w:r>
          </w:p>
        </w:tc>
        <w:tc>
          <w:tcPr>
            <w:tcW w:w="950" w:type="dxa"/>
            <w:tcBorders/>
            <w:shd w:fill="D5EAEA" w:val="clear"/>
            <w:vAlign w:val="center"/>
          </w:tcPr>
          <w:p>
            <w:pPr>
              <w:pStyle w:val="TableContents"/>
              <w:bidi w:val="0"/>
              <w:spacing w:before="0" w:after="283"/>
              <w:jc w:val="center"/>
              <w:rPr>
                <w:sz w:val="20"/>
              </w:rPr>
            </w:pPr>
            <w:r>
              <w:rPr>
                <w:sz w:val="20"/>
              </w:rPr>
              <w:t>UK</w:t>
            </w:r>
          </w:p>
        </w:tc>
        <w:tc>
          <w:tcPr>
            <w:tcW w:w="470" w:type="dxa"/>
            <w:tcBorders/>
            <w:shd w:fill="D5EAEA" w:val="clear"/>
            <w:vAlign w:val="center"/>
          </w:tcPr>
          <w:p>
            <w:pPr>
              <w:pStyle w:val="TableContents"/>
              <w:bidi w:val="0"/>
              <w:spacing w:before="0" w:after="283"/>
              <w:jc w:val="center"/>
              <w:rPr>
                <w:sz w:val="20"/>
              </w:rPr>
            </w:pPr>
            <w:r>
              <w:rPr>
                <w:sz w:val="20"/>
              </w:rPr>
              <w:t>GBP</w:t>
            </w:r>
          </w:p>
        </w:tc>
        <w:tc>
          <w:tcPr>
            <w:tcW w:w="701" w:type="dxa"/>
            <w:tcBorders/>
            <w:shd w:fill="D5EAEA" w:val="clear"/>
            <w:vAlign w:val="center"/>
          </w:tcPr>
          <w:p>
            <w:pPr>
              <w:pStyle w:val="TableContents"/>
              <w:bidi w:val="0"/>
              <w:spacing w:before="0" w:after="283"/>
              <w:jc w:val="right"/>
              <w:rPr>
                <w:sz w:val="20"/>
              </w:rPr>
            </w:pPr>
            <w:r>
              <w:rPr>
                <w:sz w:val="20"/>
              </w:rPr>
              <w:tab/>
              <w:t>100.00</w:t>
              <w:tab/>
              <w:t>%</w:t>
            </w:r>
          </w:p>
        </w:tc>
        <w:tc>
          <w:tcPr>
            <w:tcW w:w="1289" w:type="dxa"/>
            <w:tcBorders/>
            <w:shd w:fill="D5EAEA" w:val="clear"/>
            <w:vAlign w:val="center"/>
          </w:tcPr>
          <w:p>
            <w:pPr>
              <w:pStyle w:val="TableContents"/>
              <w:bidi w:val="0"/>
              <w:spacing w:before="0" w:after="283"/>
              <w:jc w:val="right"/>
              <w:rPr>
                <w:sz w:val="20"/>
              </w:rPr>
            </w:pPr>
            <w:r>
              <w:rPr>
                <w:sz w:val="20"/>
              </w:rPr>
              <w:tab/>
              <w:t>100.00</w:t>
              <w:tab/>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999" w:type="dxa"/>
        <w:jc w:val="left"/>
        <w:tblInd w:w="0" w:type="dxa"/>
        <w:tblLayout w:type="fixed"/>
        <w:tblCellMar>
          <w:top w:w="0" w:type="dxa"/>
          <w:left w:w="0" w:type="dxa"/>
          <w:bottom w:w="28" w:type="dxa"/>
          <w:right w:w="0" w:type="dxa"/>
        </w:tblCellMar>
      </w:tblPr>
      <w:tblGrid>
        <w:gridCol w:w="1070"/>
        <w:gridCol w:w="60"/>
        <w:gridCol w:w="1655"/>
        <w:gridCol w:w="2180"/>
        <w:gridCol w:w="1790"/>
        <w:gridCol w:w="1228"/>
        <w:gridCol w:w="2016"/>
      </w:tblGrid>
      <w:tr>
        <w:trPr/>
        <w:tc>
          <w:tcPr>
            <w:tcW w:w="1070" w:type="dxa"/>
            <w:tcBorders>
              <w:bottom w:val="single" w:sz="8" w:space="0" w:color="000000"/>
            </w:tcBorders>
            <w:vAlign w:val="center"/>
          </w:tcPr>
          <w:p>
            <w:pPr>
              <w:pStyle w:val="TableContents"/>
              <w:bidi w:val="0"/>
              <w:spacing w:before="0" w:after="283"/>
              <w:jc w:val="left"/>
              <w:rPr>
                <w:b/>
                <w:sz w:val="20"/>
              </w:rPr>
            </w:pPr>
            <w:r>
              <w:rPr>
                <w:b/>
                <w:sz w:val="20"/>
              </w:rPr>
              <w:t>Subsidiaries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8" w:space="0" w:color="000000"/>
            </w:tcBorders>
            <w:vAlign w:val="center"/>
          </w:tcPr>
          <w:p>
            <w:pPr>
              <w:pStyle w:val="TableContents"/>
              <w:bidi w:val="0"/>
              <w:spacing w:before="0" w:after="283"/>
              <w:jc w:val="center"/>
              <w:rPr>
                <w:b/>
                <w:sz w:val="20"/>
              </w:rPr>
            </w:pPr>
            <w:r>
              <w:rPr>
                <w:b/>
                <w:sz w:val="20"/>
              </w:rPr>
              <w:t>Principal Activities</w:t>
            </w:r>
          </w:p>
        </w:tc>
        <w:tc>
          <w:tcPr>
            <w:tcW w:w="2180" w:type="dxa"/>
            <w:tcBorders>
              <w:bottom w:val="single" w:sz="8" w:space="0" w:color="000000"/>
            </w:tcBorders>
            <w:vAlign w:val="center"/>
          </w:tcPr>
          <w:p>
            <w:pPr>
              <w:pStyle w:val="TableContents"/>
              <w:bidi w:val="0"/>
              <w:spacing w:before="0" w:after="283"/>
              <w:jc w:val="center"/>
              <w:rPr>
                <w:b/>
                <w:sz w:val="20"/>
              </w:rPr>
            </w:pPr>
            <w:r>
              <w:rPr>
                <w:b/>
                <w:sz w:val="20"/>
              </w:rPr>
              <w:t>Country of Incorporation</w:t>
            </w:r>
          </w:p>
        </w:tc>
        <w:tc>
          <w:tcPr>
            <w:tcW w:w="1790" w:type="dxa"/>
            <w:tcBorders>
              <w:bottom w:val="single" w:sz="8" w:space="0" w:color="000000"/>
            </w:tcBorders>
            <w:vAlign w:val="center"/>
          </w:tcPr>
          <w:p>
            <w:pPr>
              <w:pStyle w:val="TableContents"/>
              <w:bidi w:val="0"/>
              <w:spacing w:before="0" w:after="283"/>
              <w:jc w:val="center"/>
              <w:rPr>
                <w:b/>
                <w:sz w:val="20"/>
              </w:rPr>
            </w:pPr>
            <w:r>
              <w:rPr>
                <w:b/>
                <w:sz w:val="20"/>
              </w:rPr>
              <w:t>Functional Currency</w:t>
            </w:r>
          </w:p>
        </w:tc>
        <w:tc>
          <w:tcPr>
            <w:tcW w:w="3244" w:type="dxa"/>
            <w:gridSpan w:val="2"/>
            <w:tcBorders>
              <w:bottom w:val="single" w:sz="8" w:space="0" w:color="000000"/>
            </w:tcBorders>
            <w:vAlign w:val="center"/>
          </w:tcPr>
          <w:p>
            <w:pPr>
              <w:pStyle w:val="TableContents"/>
              <w:bidi w:val="0"/>
              <w:spacing w:before="0" w:after="283"/>
              <w:ind w:left="0" w:right="0" w:hanging="0"/>
              <w:jc w:val="center"/>
              <w:rPr>
                <w:b/>
                <w:sz w:val="20"/>
              </w:rPr>
            </w:pPr>
            <w:r>
              <w:rPr>
                <w:b/>
                <w:sz w:val="20"/>
              </w:rPr>
              <w:t>Equity interest (direct or indirect) (%)</w:t>
            </w:r>
          </w:p>
        </w:tc>
      </w:tr>
      <w:tr>
        <w:trPr/>
        <w:tc>
          <w:tcPr>
            <w:tcW w:w="10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c>
          <w:tcPr>
            <w:tcW w:w="2180" w:type="dxa"/>
            <w:tcBorders/>
            <w:tcMar>
              <w:bottom w:w="0" w:type="dxa"/>
            </w:tcMar>
            <w:vAlign w:val="center"/>
          </w:tcPr>
          <w:p>
            <w:pPr>
              <w:pStyle w:val="TableContents"/>
              <w:bidi w:val="0"/>
              <w:spacing w:before="0" w:after="283"/>
              <w:jc w:val="center"/>
              <w:rPr/>
            </w:pPr>
            <w:r>
              <w:rPr/>
              <w:t> </w:t>
            </w:r>
          </w:p>
        </w:tc>
        <w:tc>
          <w:tcPr>
            <w:tcW w:w="1790" w:type="dxa"/>
            <w:tcBorders/>
            <w:tcMar>
              <w:bottom w:w="0" w:type="dxa"/>
            </w:tcMar>
            <w:vAlign w:val="center"/>
          </w:tcPr>
          <w:p>
            <w:pPr>
              <w:pStyle w:val="TableContents"/>
              <w:bidi w:val="0"/>
              <w:spacing w:before="0" w:after="283"/>
              <w:jc w:val="center"/>
              <w:rPr/>
            </w:pPr>
            <w:r>
              <w:rPr/>
              <w:t> </w:t>
            </w:r>
          </w:p>
        </w:tc>
        <w:tc>
          <w:tcPr>
            <w:tcW w:w="1228" w:type="dxa"/>
            <w:tcBorders>
              <w:bottom w:val="single" w:sz="8" w:space="0" w:color="000000"/>
            </w:tcBorders>
            <w:vAlign w:val="center"/>
          </w:tcPr>
          <w:p>
            <w:pPr>
              <w:pStyle w:val="TableContents"/>
              <w:bidi w:val="0"/>
              <w:spacing w:before="0" w:after="283"/>
              <w:jc w:val="center"/>
              <w:rPr>
                <w:b/>
              </w:rPr>
            </w:pPr>
            <w:r>
              <w:rPr>
                <w:b/>
                <w:sz w:val="20"/>
              </w:rPr>
              <w:t>June 30,</w:t>
            </w:r>
            <w:r>
              <w:rPr>
                <w:b/>
              </w:rPr>
              <w:br/>
            </w:r>
            <w:r>
              <w:rPr>
                <w:b/>
                <w:sz w:val="20"/>
              </w:rPr>
              <w:t>2026</w:t>
            </w:r>
          </w:p>
        </w:tc>
        <w:tc>
          <w:tcPr>
            <w:tcW w:w="2016" w:type="dxa"/>
            <w:tcBorders>
              <w:bottom w:val="single" w:sz="8" w:space="0" w:color="000000"/>
            </w:tcBorders>
            <w:vAlign w:val="center"/>
          </w:tcPr>
          <w:p>
            <w:pPr>
              <w:pStyle w:val="TableContents"/>
              <w:bidi w:val="0"/>
              <w:spacing w:before="0" w:after="283"/>
              <w:jc w:val="center"/>
              <w:rPr>
                <w:b/>
              </w:rPr>
            </w:pPr>
            <w:r>
              <w:rPr>
                <w:b/>
                <w:sz w:val="20"/>
              </w:rPr>
              <w:t>December 31,</w:t>
            </w:r>
            <w:r>
              <w:rPr>
                <w:b/>
              </w:rPr>
              <w:br/>
            </w:r>
            <w:r>
              <w:rPr>
                <w:b/>
                <w:sz w:val="20"/>
              </w:rPr>
              <w:t>2025</w:t>
            </w:r>
          </w:p>
        </w:tc>
      </w:tr>
    </w:tbl>
    <w:tbl>
      <w:tblPr>
        <w:tblW w:w="10205" w:type="dxa"/>
        <w:jc w:val="left"/>
        <w:tblInd w:w="0" w:type="dxa"/>
        <w:tblLayout w:type="fixed"/>
        <w:tblCellMar>
          <w:top w:w="0" w:type="dxa"/>
          <w:left w:w="0" w:type="dxa"/>
          <w:bottom w:w="0" w:type="dxa"/>
          <w:right w:w="0" w:type="dxa"/>
        </w:tblCellMar>
      </w:tblPr>
      <w:tblGrid>
        <w:gridCol w:w="4255"/>
        <w:gridCol w:w="264"/>
        <w:gridCol w:w="2877"/>
        <w:gridCol w:w="305"/>
        <w:gridCol w:w="455"/>
        <w:gridCol w:w="1346"/>
        <w:gridCol w:w="703"/>
      </w:tblGrid>
      <w:tr>
        <w:trPr/>
        <w:tc>
          <w:tcPr>
            <w:tcW w:w="4255" w:type="dxa"/>
            <w:tcBorders/>
            <w:shd w:fill="D5EAEA" w:val="clear"/>
            <w:vAlign w:val="center"/>
          </w:tcPr>
          <w:p>
            <w:pPr>
              <w:pStyle w:val="TableContents"/>
              <w:bidi w:val="0"/>
              <w:spacing w:before="0" w:after="283"/>
              <w:ind w:left="0" w:right="0" w:hanging="0"/>
              <w:jc w:val="left"/>
              <w:rPr>
                <w:sz w:val="20"/>
              </w:rPr>
            </w:pPr>
            <w:r>
              <w:rPr>
                <w:sz w:val="20"/>
              </w:rPr>
              <w:t>Patria Europe 2 Limited</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Holding company</w:t>
            </w:r>
          </w:p>
        </w:tc>
        <w:tc>
          <w:tcPr>
            <w:tcW w:w="305" w:type="dxa"/>
            <w:tcBorders/>
            <w:shd w:fill="D5EAEA" w:val="clear"/>
            <w:vAlign w:val="center"/>
          </w:tcPr>
          <w:p>
            <w:pPr>
              <w:pStyle w:val="TableContents"/>
              <w:bidi w:val="0"/>
              <w:spacing w:before="0" w:after="283"/>
              <w:jc w:val="center"/>
              <w:rPr>
                <w:sz w:val="20"/>
              </w:rPr>
            </w:pPr>
            <w:r>
              <w:rPr>
                <w:sz w:val="20"/>
              </w:rPr>
              <w:t>UK</w:t>
            </w:r>
          </w:p>
        </w:tc>
        <w:tc>
          <w:tcPr>
            <w:tcW w:w="455" w:type="dxa"/>
            <w:tcBorders/>
            <w:shd w:fill="D5EAEA" w:val="clear"/>
            <w:vAlign w:val="center"/>
          </w:tcPr>
          <w:p>
            <w:pPr>
              <w:pStyle w:val="TableContents"/>
              <w:bidi w:val="0"/>
              <w:spacing w:before="0" w:after="283"/>
              <w:jc w:val="center"/>
              <w:rPr>
                <w:sz w:val="20"/>
              </w:rPr>
            </w:pPr>
            <w:r>
              <w:rPr>
                <w:sz w:val="20"/>
              </w:rPr>
              <w:t>GBP</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Finance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 &amp; administration</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High Growth Gestora de Recursos Ltda. (formerly “Kamaroopin Ltda”)</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BR</w:t>
            </w:r>
          </w:p>
        </w:tc>
        <w:tc>
          <w:tcPr>
            <w:tcW w:w="455" w:type="dxa"/>
            <w:tcBorders/>
            <w:shd w:fill="D5EAEA" w:val="clear"/>
            <w:vAlign w:val="center"/>
          </w:tcPr>
          <w:p>
            <w:pPr>
              <w:pStyle w:val="TableContents"/>
              <w:bidi w:val="0"/>
              <w:spacing w:before="0" w:after="283"/>
              <w:jc w:val="center"/>
              <w:rPr>
                <w:sz w:val="20"/>
              </w:rPr>
            </w:pPr>
            <w:r>
              <w:rPr>
                <w:sz w:val="20"/>
              </w:rPr>
              <w:t>BRL</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Holding Financeira Ltda.</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Holding company</w:t>
            </w:r>
          </w:p>
        </w:tc>
        <w:tc>
          <w:tcPr>
            <w:tcW w:w="305" w:type="dxa"/>
            <w:tcBorders/>
            <w:shd w:fill="FFFFFF" w:val="clear"/>
            <w:vAlign w:val="center"/>
          </w:tcPr>
          <w:p>
            <w:pPr>
              <w:pStyle w:val="TableContents"/>
              <w:bidi w:val="0"/>
              <w:spacing w:before="0" w:after="283"/>
              <w:jc w:val="center"/>
              <w:rPr>
                <w:sz w:val="20"/>
              </w:rPr>
            </w:pPr>
            <w:r>
              <w:rPr>
                <w:sz w:val="20"/>
              </w:rPr>
              <w:t>BR</w:t>
            </w:r>
          </w:p>
        </w:tc>
        <w:tc>
          <w:tcPr>
            <w:tcW w:w="455" w:type="dxa"/>
            <w:tcBorders/>
            <w:shd w:fill="FFFFFF" w:val="clear"/>
            <w:vAlign w:val="center"/>
          </w:tcPr>
          <w:p>
            <w:pPr>
              <w:pStyle w:val="TableContents"/>
              <w:bidi w:val="0"/>
              <w:spacing w:before="0" w:after="283"/>
              <w:jc w:val="center"/>
              <w:rPr>
                <w:sz w:val="20"/>
              </w:rPr>
            </w:pPr>
            <w:r>
              <w:rPr>
                <w:sz w:val="20"/>
              </w:rPr>
              <w:t>BRL</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Infrastructure General Partner IV Ltd.</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Investment fund manager</w:t>
            </w:r>
          </w:p>
        </w:tc>
        <w:tc>
          <w:tcPr>
            <w:tcW w:w="305" w:type="dxa"/>
            <w:tcBorders/>
            <w:shd w:fill="D5EAEA" w:val="clear"/>
            <w:vAlign w:val="center"/>
          </w:tcPr>
          <w:p>
            <w:pPr>
              <w:pStyle w:val="TableContents"/>
              <w:bidi w:val="0"/>
              <w:spacing w:before="0" w:after="283"/>
              <w:jc w:val="center"/>
              <w:rPr>
                <w:sz w:val="20"/>
              </w:rPr>
            </w:pPr>
            <w:r>
              <w:rPr>
                <w:sz w:val="20"/>
              </w:rPr>
              <w:t>KY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Infrastructure Latam Multistrategy SMA I GP,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w:t>
            </w:r>
          </w:p>
        </w:tc>
      </w:tr>
      <w:tr>
        <w:trPr/>
        <w:tc>
          <w:tcPr>
            <w:tcW w:w="4255" w:type="dxa"/>
            <w:tcBorders/>
            <w:shd w:fill="D5EAEA" w:val="clear"/>
            <w:vAlign w:val="center"/>
          </w:tcPr>
          <w:p>
            <w:pPr>
              <w:pStyle w:val="TableContents"/>
              <w:bidi w:val="0"/>
              <w:spacing w:before="0" w:after="283"/>
              <w:jc w:val="left"/>
              <w:rPr>
                <w:sz w:val="20"/>
              </w:rPr>
            </w:pPr>
            <w:r>
              <w:rPr>
                <w:sz w:val="20"/>
              </w:rPr>
              <w:t>Patria Investimentos Ltda. ("PILTDA")</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Asset management &amp; administration</w:t>
            </w:r>
          </w:p>
        </w:tc>
        <w:tc>
          <w:tcPr>
            <w:tcW w:w="305" w:type="dxa"/>
            <w:tcBorders/>
            <w:shd w:fill="D5EAEA" w:val="clear"/>
            <w:vAlign w:val="center"/>
          </w:tcPr>
          <w:p>
            <w:pPr>
              <w:pStyle w:val="TableContents"/>
              <w:bidi w:val="0"/>
              <w:spacing w:before="0" w:after="283"/>
              <w:jc w:val="center"/>
              <w:rPr>
                <w:sz w:val="20"/>
              </w:rPr>
            </w:pPr>
            <w:r>
              <w:rPr>
                <w:sz w:val="20"/>
              </w:rPr>
              <w:t>BR</w:t>
            </w:r>
          </w:p>
        </w:tc>
        <w:tc>
          <w:tcPr>
            <w:tcW w:w="455" w:type="dxa"/>
            <w:tcBorders/>
            <w:shd w:fill="D5EAEA" w:val="clear"/>
            <w:vAlign w:val="center"/>
          </w:tcPr>
          <w:p>
            <w:pPr>
              <w:pStyle w:val="TableContents"/>
              <w:bidi w:val="0"/>
              <w:spacing w:before="0" w:after="283"/>
              <w:jc w:val="center"/>
              <w:rPr>
                <w:sz w:val="20"/>
              </w:rPr>
            </w:pPr>
            <w:r>
              <w:rPr>
                <w:sz w:val="20"/>
              </w:rPr>
              <w:t>BRL</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Investments Argentina S.A.</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Holding company</w:t>
            </w:r>
          </w:p>
        </w:tc>
        <w:tc>
          <w:tcPr>
            <w:tcW w:w="305" w:type="dxa"/>
            <w:tcBorders/>
            <w:shd w:fill="FFFFFF" w:val="clear"/>
            <w:vAlign w:val="center"/>
          </w:tcPr>
          <w:p>
            <w:pPr>
              <w:pStyle w:val="TableContents"/>
              <w:bidi w:val="0"/>
              <w:spacing w:before="0" w:after="283"/>
              <w:jc w:val="center"/>
              <w:rPr>
                <w:sz w:val="20"/>
              </w:rPr>
            </w:pPr>
            <w:r>
              <w:rPr>
                <w:sz w:val="20"/>
              </w:rPr>
              <w:t>AR</w:t>
            </w:r>
          </w:p>
        </w:tc>
        <w:tc>
          <w:tcPr>
            <w:tcW w:w="455" w:type="dxa"/>
            <w:tcBorders/>
            <w:shd w:fill="FFFFFF" w:val="clear"/>
            <w:vAlign w:val="center"/>
          </w:tcPr>
          <w:p>
            <w:pPr>
              <w:pStyle w:val="TableContents"/>
              <w:bidi w:val="0"/>
              <w:spacing w:before="0" w:after="283"/>
              <w:jc w:val="center"/>
              <w:rPr/>
            </w:pPr>
            <w:r>
              <w:rPr/>
              <w:t> </w:t>
            </w: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Investments Broker Dealer Inc.</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Investor relations &amp; administration</w:t>
            </w:r>
          </w:p>
        </w:tc>
        <w:tc>
          <w:tcPr>
            <w:tcW w:w="305" w:type="dxa"/>
            <w:tcBorders/>
            <w:shd w:fill="D5EAEA" w:val="clear"/>
            <w:vAlign w:val="center"/>
          </w:tcPr>
          <w:p>
            <w:pPr>
              <w:pStyle w:val="TableContents"/>
              <w:bidi w:val="0"/>
              <w:spacing w:before="0" w:after="283"/>
              <w:jc w:val="center"/>
              <w:rPr>
                <w:sz w:val="20"/>
              </w:rPr>
            </w:pPr>
            <w:r>
              <w:rPr>
                <w:sz w:val="20"/>
              </w:rPr>
              <w:t>US</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w:t>
              <w:tab/>
              <w:t>%</w:t>
            </w:r>
          </w:p>
        </w:tc>
      </w:tr>
      <w:tr>
        <w:trPr/>
        <w:tc>
          <w:tcPr>
            <w:tcW w:w="4255" w:type="dxa"/>
            <w:tcBorders/>
            <w:shd w:fill="FFFFFF" w:val="clear"/>
            <w:vAlign w:val="center"/>
          </w:tcPr>
          <w:p>
            <w:pPr>
              <w:pStyle w:val="TableContents"/>
              <w:bidi w:val="0"/>
              <w:spacing w:before="0" w:after="283"/>
              <w:jc w:val="left"/>
              <w:rPr>
                <w:sz w:val="20"/>
              </w:rPr>
            </w:pPr>
            <w:r>
              <w:rPr>
                <w:sz w:val="20"/>
              </w:rPr>
              <w:t>Patria Investments Cayman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Holding company</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Investments Colombia S.A.S.</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Advisory, investor relations &amp; marketing</w:t>
            </w:r>
          </w:p>
        </w:tc>
        <w:tc>
          <w:tcPr>
            <w:tcW w:w="305" w:type="dxa"/>
            <w:tcBorders/>
            <w:shd w:fill="D5EAEA" w:val="clear"/>
            <w:vAlign w:val="center"/>
          </w:tcPr>
          <w:p>
            <w:pPr>
              <w:pStyle w:val="TableContents"/>
              <w:bidi w:val="0"/>
              <w:spacing w:before="0" w:after="283"/>
              <w:jc w:val="center"/>
              <w:rPr>
                <w:sz w:val="20"/>
              </w:rPr>
            </w:pPr>
            <w:r>
              <w:rPr>
                <w:sz w:val="20"/>
              </w:rPr>
              <w:t>CO</w:t>
            </w:r>
          </w:p>
        </w:tc>
        <w:tc>
          <w:tcPr>
            <w:tcW w:w="455" w:type="dxa"/>
            <w:tcBorders/>
            <w:shd w:fill="D5EAEA" w:val="clear"/>
            <w:vAlign w:val="center"/>
          </w:tcPr>
          <w:p>
            <w:pPr>
              <w:pStyle w:val="TableContents"/>
              <w:bidi w:val="0"/>
              <w:spacing w:before="0" w:after="283"/>
              <w:jc w:val="center"/>
              <w:rPr>
                <w:sz w:val="20"/>
              </w:rPr>
            </w:pPr>
            <w:r>
              <w:rPr>
                <w:sz w:val="20"/>
              </w:rPr>
              <w:t>COP</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Investments Hong Kong,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Investor relations, marketing &amp; administration</w:t>
            </w:r>
          </w:p>
        </w:tc>
        <w:tc>
          <w:tcPr>
            <w:tcW w:w="305" w:type="dxa"/>
            <w:tcBorders/>
            <w:shd w:fill="FFFFFF" w:val="clear"/>
            <w:vAlign w:val="center"/>
          </w:tcPr>
          <w:p>
            <w:pPr>
              <w:pStyle w:val="TableContents"/>
              <w:bidi w:val="0"/>
              <w:spacing w:before="0" w:after="283"/>
              <w:jc w:val="center"/>
              <w:rPr>
                <w:sz w:val="20"/>
              </w:rPr>
            </w:pPr>
            <w:r>
              <w:rPr>
                <w:sz w:val="20"/>
              </w:rPr>
              <w:t>CN</w:t>
            </w:r>
          </w:p>
        </w:tc>
        <w:tc>
          <w:tcPr>
            <w:tcW w:w="455" w:type="dxa"/>
            <w:tcBorders/>
            <w:shd w:fill="FFFFFF" w:val="clear"/>
            <w:vAlign w:val="center"/>
          </w:tcPr>
          <w:p>
            <w:pPr>
              <w:pStyle w:val="TableContents"/>
              <w:bidi w:val="0"/>
              <w:spacing w:before="0" w:after="283"/>
              <w:jc w:val="center"/>
              <w:rPr>
                <w:sz w:val="20"/>
              </w:rPr>
            </w:pPr>
            <w:r>
              <w:rPr>
                <w:sz w:val="20"/>
              </w:rPr>
              <w:t>HKD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Investments Latam S.A.</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Holding company</w:t>
            </w:r>
          </w:p>
        </w:tc>
        <w:tc>
          <w:tcPr>
            <w:tcW w:w="305" w:type="dxa"/>
            <w:tcBorders/>
            <w:shd w:fill="D5EAEA" w:val="clear"/>
            <w:vAlign w:val="center"/>
          </w:tcPr>
          <w:p>
            <w:pPr>
              <w:pStyle w:val="TableContents"/>
              <w:bidi w:val="0"/>
              <w:spacing w:before="0" w:after="283"/>
              <w:jc w:val="center"/>
              <w:rPr>
                <w:sz w:val="20"/>
              </w:rPr>
            </w:pPr>
            <w:r>
              <w:rPr>
                <w:sz w:val="20"/>
              </w:rPr>
              <w:t>UY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Investments UK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Investor relations, marketing &amp; administration</w:t>
            </w:r>
          </w:p>
        </w:tc>
        <w:tc>
          <w:tcPr>
            <w:tcW w:w="305" w:type="dxa"/>
            <w:tcBorders/>
            <w:shd w:fill="FFFFFF" w:val="clear"/>
            <w:vAlign w:val="center"/>
          </w:tcPr>
          <w:p>
            <w:pPr>
              <w:pStyle w:val="TableContents"/>
              <w:bidi w:val="0"/>
              <w:spacing w:before="0" w:after="283"/>
              <w:jc w:val="center"/>
              <w:rPr>
                <w:sz w:val="20"/>
              </w:rPr>
            </w:pPr>
            <w:r>
              <w:rPr>
                <w:sz w:val="20"/>
              </w:rPr>
              <w:t>UK</w:t>
            </w:r>
          </w:p>
        </w:tc>
        <w:tc>
          <w:tcPr>
            <w:tcW w:w="455" w:type="dxa"/>
            <w:tcBorders/>
            <w:shd w:fill="FFFFFF" w:val="clear"/>
            <w:vAlign w:val="center"/>
          </w:tcPr>
          <w:p>
            <w:pPr>
              <w:pStyle w:val="TableContents"/>
              <w:bidi w:val="0"/>
              <w:spacing w:before="0" w:after="283"/>
              <w:jc w:val="center"/>
              <w:rPr>
                <w:sz w:val="20"/>
              </w:rPr>
            </w:pPr>
            <w:r>
              <w:rPr>
                <w:sz w:val="20"/>
              </w:rPr>
              <w:t>GBP</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Investments Uruguay Agente de Valores S.A.</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Broker, advisory, investor relations &amp; marketing</w:t>
            </w:r>
          </w:p>
        </w:tc>
        <w:tc>
          <w:tcPr>
            <w:tcW w:w="305" w:type="dxa"/>
            <w:tcBorders/>
            <w:shd w:fill="D5EAEA" w:val="clear"/>
            <w:vAlign w:val="center"/>
          </w:tcPr>
          <w:p>
            <w:pPr>
              <w:pStyle w:val="TableContents"/>
              <w:bidi w:val="0"/>
              <w:spacing w:before="0" w:after="283"/>
              <w:jc w:val="center"/>
              <w:rPr>
                <w:sz w:val="20"/>
              </w:rPr>
            </w:pPr>
            <w:r>
              <w:rPr>
                <w:sz w:val="20"/>
              </w:rPr>
              <w:t>UY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Investments US LLC</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Investor relations, marketing &amp; administration</w:t>
            </w:r>
          </w:p>
        </w:tc>
        <w:tc>
          <w:tcPr>
            <w:tcW w:w="305" w:type="dxa"/>
            <w:tcBorders/>
            <w:shd w:fill="FFFFFF" w:val="clear"/>
            <w:vAlign w:val="center"/>
          </w:tcPr>
          <w:p>
            <w:pPr>
              <w:pStyle w:val="TableContents"/>
              <w:bidi w:val="0"/>
              <w:spacing w:before="0" w:after="283"/>
              <w:jc w:val="center"/>
              <w:rPr>
                <w:sz w:val="20"/>
              </w:rPr>
            </w:pPr>
            <w:r>
              <w:rPr>
                <w:sz w:val="20"/>
              </w:rPr>
              <w:t>US</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Italy S.R.L.</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Administration</w:t>
            </w:r>
          </w:p>
        </w:tc>
        <w:tc>
          <w:tcPr>
            <w:tcW w:w="305" w:type="dxa"/>
            <w:tcBorders/>
            <w:shd w:fill="D5EAEA" w:val="clear"/>
            <w:vAlign w:val="center"/>
          </w:tcPr>
          <w:p>
            <w:pPr>
              <w:pStyle w:val="TableContents"/>
              <w:bidi w:val="0"/>
              <w:spacing w:before="0" w:after="283"/>
              <w:jc w:val="center"/>
              <w:rPr>
                <w:sz w:val="20"/>
              </w:rPr>
            </w:pPr>
            <w:r>
              <w:rPr>
                <w:sz w:val="20"/>
              </w:rPr>
              <w:t>IT</w:t>
            </w:r>
          </w:p>
        </w:tc>
        <w:tc>
          <w:tcPr>
            <w:tcW w:w="455" w:type="dxa"/>
            <w:tcBorders/>
            <w:shd w:fill="D5EAEA" w:val="clear"/>
            <w:vAlign w:val="center"/>
          </w:tcPr>
          <w:p>
            <w:pPr>
              <w:pStyle w:val="TableContents"/>
              <w:bidi w:val="0"/>
              <w:spacing w:before="0" w:after="283"/>
              <w:jc w:val="center"/>
              <w:rPr>
                <w:sz w:val="20"/>
              </w:rPr>
            </w:pPr>
            <w:r>
              <w:rPr>
                <w:sz w:val="20"/>
              </w:rPr>
              <w:t>EUR</w:t>
            </w:r>
          </w:p>
        </w:tc>
        <w:tc>
          <w:tcPr>
            <w:tcW w:w="1346" w:type="dxa"/>
            <w:tcBorders/>
            <w:shd w:fill="D5EAEA" w:val="clear"/>
            <w:vAlign w:val="center"/>
          </w:tcPr>
          <w:p>
            <w:pPr>
              <w:pStyle w:val="TableContents"/>
              <w:bidi w:val="0"/>
              <w:spacing w:before="0" w:after="283"/>
              <w:jc w:val="right"/>
              <w:rPr>
                <w:sz w:val="20"/>
              </w:rPr>
            </w:pPr>
            <w:r>
              <w:rPr>
                <w:sz w:val="20"/>
              </w:rPr>
              <w:t>100.00 %</w:t>
            </w:r>
          </w:p>
        </w:tc>
        <w:tc>
          <w:tcPr>
            <w:tcW w:w="703" w:type="dxa"/>
            <w:tcBorders/>
            <w:shd w:fill="D5EAEA" w:val="clear"/>
            <w:vAlign w:val="center"/>
          </w:tcPr>
          <w:p>
            <w:pPr>
              <w:pStyle w:val="TableContents"/>
              <w:bidi w:val="0"/>
              <w:spacing w:before="0" w:after="283"/>
              <w:ind w:left="0" w:right="0" w:hanging="0"/>
              <w:jc w:val="right"/>
              <w:rPr>
                <w:sz w:val="20"/>
              </w:rPr>
            </w:pPr>
            <w:r>
              <w:rPr>
                <w:sz w:val="20"/>
              </w:rPr>
              <w:t>-</w:t>
            </w:r>
          </w:p>
        </w:tc>
      </w:tr>
      <w:tr>
        <w:trPr/>
        <w:tc>
          <w:tcPr>
            <w:tcW w:w="4255" w:type="dxa"/>
            <w:tcBorders/>
            <w:shd w:fill="FFFFFF" w:val="clear"/>
            <w:vAlign w:val="center"/>
          </w:tcPr>
          <w:p>
            <w:pPr>
              <w:pStyle w:val="TableContents"/>
              <w:bidi w:val="0"/>
              <w:spacing w:before="0" w:after="283"/>
              <w:jc w:val="left"/>
              <w:rPr>
                <w:sz w:val="20"/>
              </w:rPr>
            </w:pPr>
            <w:r>
              <w:rPr>
                <w:sz w:val="20"/>
              </w:rPr>
              <w:t>Patria Latin American Opportunity Acquisition Corp.</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SPAC</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Portfolio Investments Limited</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Holding company</w:t>
            </w:r>
          </w:p>
        </w:tc>
        <w:tc>
          <w:tcPr>
            <w:tcW w:w="305" w:type="dxa"/>
            <w:tcBorders/>
            <w:shd w:fill="D5EAEA" w:val="clear"/>
            <w:vAlign w:val="center"/>
          </w:tcPr>
          <w:p>
            <w:pPr>
              <w:pStyle w:val="TableContents"/>
              <w:bidi w:val="0"/>
              <w:spacing w:before="0" w:after="283"/>
              <w:jc w:val="center"/>
              <w:rPr>
                <w:sz w:val="20"/>
              </w:rPr>
            </w:pPr>
            <w:r>
              <w:rPr>
                <w:sz w:val="20"/>
              </w:rPr>
              <w:t>KY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Private Equity (Europe) Limited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UK</w:t>
            </w:r>
          </w:p>
        </w:tc>
        <w:tc>
          <w:tcPr>
            <w:tcW w:w="455" w:type="dxa"/>
            <w:tcBorders/>
            <w:shd w:fill="FFFFFF" w:val="clear"/>
            <w:vAlign w:val="center"/>
          </w:tcPr>
          <w:p>
            <w:pPr>
              <w:pStyle w:val="TableContents"/>
              <w:bidi w:val="0"/>
              <w:spacing w:before="0" w:after="283"/>
              <w:jc w:val="center"/>
              <w:rPr>
                <w:sz w:val="20"/>
              </w:rPr>
            </w:pPr>
            <w:r>
              <w:rPr>
                <w:sz w:val="20"/>
              </w:rPr>
              <w:t>GBP</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Private Equity Latam S.A.S</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Holding company</w:t>
            </w:r>
          </w:p>
        </w:tc>
        <w:tc>
          <w:tcPr>
            <w:tcW w:w="305" w:type="dxa"/>
            <w:tcBorders/>
            <w:shd w:fill="D5EAEA" w:val="clear"/>
            <w:vAlign w:val="center"/>
          </w:tcPr>
          <w:p>
            <w:pPr>
              <w:pStyle w:val="TableContents"/>
              <w:bidi w:val="0"/>
              <w:spacing w:before="0" w:after="283"/>
              <w:jc w:val="center"/>
              <w:rPr>
                <w:sz w:val="20"/>
              </w:rPr>
            </w:pPr>
            <w:r>
              <w:rPr>
                <w:sz w:val="20"/>
              </w:rPr>
              <w:t>UY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Real Estate Latam S.A.S</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Holding company</w:t>
            </w:r>
          </w:p>
        </w:tc>
        <w:tc>
          <w:tcPr>
            <w:tcW w:w="305" w:type="dxa"/>
            <w:tcBorders/>
            <w:shd w:fill="FFFFFF" w:val="clear"/>
            <w:vAlign w:val="center"/>
          </w:tcPr>
          <w:p>
            <w:pPr>
              <w:pStyle w:val="TableContents"/>
              <w:bidi w:val="0"/>
              <w:spacing w:before="0" w:after="283"/>
              <w:jc w:val="center"/>
              <w:rPr>
                <w:sz w:val="20"/>
              </w:rPr>
            </w:pPr>
            <w:r>
              <w:rPr>
                <w:sz w:val="20"/>
              </w:rPr>
              <w:t>UY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98.90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98.90</w:t>
              <w:tab/>
              <w:t>%</w:t>
            </w:r>
          </w:p>
        </w:tc>
      </w:tr>
      <w:tr>
        <w:trPr/>
        <w:tc>
          <w:tcPr>
            <w:tcW w:w="4255" w:type="dxa"/>
            <w:tcBorders/>
            <w:shd w:fill="D5EAEA" w:val="clear"/>
            <w:vAlign w:val="center"/>
          </w:tcPr>
          <w:p>
            <w:pPr>
              <w:pStyle w:val="TableContents"/>
              <w:bidi w:val="0"/>
              <w:spacing w:before="0" w:after="283"/>
              <w:jc w:val="left"/>
              <w:rPr>
                <w:sz w:val="20"/>
              </w:rPr>
            </w:pPr>
            <w:r>
              <w:rPr>
                <w:sz w:val="20"/>
              </w:rPr>
              <w:t>Patria SPAC LLC</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Holding company &amp; SPAC Sponsor</w:t>
            </w:r>
          </w:p>
        </w:tc>
        <w:tc>
          <w:tcPr>
            <w:tcW w:w="305" w:type="dxa"/>
            <w:tcBorders/>
            <w:shd w:fill="D5EAEA" w:val="clear"/>
            <w:vAlign w:val="center"/>
          </w:tcPr>
          <w:p>
            <w:pPr>
              <w:pStyle w:val="TableContents"/>
              <w:bidi w:val="0"/>
              <w:spacing w:before="0" w:after="283"/>
              <w:jc w:val="center"/>
              <w:rPr>
                <w:sz w:val="20"/>
              </w:rPr>
            </w:pPr>
            <w:r>
              <w:rPr>
                <w:sz w:val="20"/>
              </w:rPr>
              <w:t>KY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VBI Administração Fiduciária e Gestão Ltda</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Administration</w:t>
            </w:r>
          </w:p>
        </w:tc>
        <w:tc>
          <w:tcPr>
            <w:tcW w:w="305" w:type="dxa"/>
            <w:tcBorders/>
            <w:shd w:fill="FFFFFF" w:val="clear"/>
            <w:vAlign w:val="center"/>
          </w:tcPr>
          <w:p>
            <w:pPr>
              <w:pStyle w:val="TableContents"/>
              <w:bidi w:val="0"/>
              <w:spacing w:before="0" w:after="283"/>
              <w:jc w:val="center"/>
              <w:rPr>
                <w:sz w:val="20"/>
              </w:rPr>
            </w:pPr>
            <w:r>
              <w:rPr>
                <w:sz w:val="20"/>
              </w:rPr>
              <w:t>BR</w:t>
            </w:r>
          </w:p>
        </w:tc>
        <w:tc>
          <w:tcPr>
            <w:tcW w:w="455" w:type="dxa"/>
            <w:tcBorders/>
            <w:shd w:fill="FFFFFF" w:val="clear"/>
            <w:vAlign w:val="center"/>
          </w:tcPr>
          <w:p>
            <w:pPr>
              <w:pStyle w:val="TableContents"/>
              <w:bidi w:val="0"/>
              <w:spacing w:before="0" w:after="283"/>
              <w:jc w:val="center"/>
              <w:rPr>
                <w:sz w:val="20"/>
              </w:rPr>
            </w:pPr>
            <w:r>
              <w:rPr>
                <w:sz w:val="20"/>
              </w:rPr>
              <w:t>BRL</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VBI Asset Management Ltda.</w:t>
            </w:r>
          </w:p>
        </w:tc>
        <w:tc>
          <w:tcPr>
            <w:tcW w:w="264" w:type="dxa"/>
            <w:tcBorders/>
            <w:shd w:fill="D5EAEA" w:val="clear"/>
            <w:vAlign w:val="center"/>
          </w:tcPr>
          <w:p>
            <w:pPr>
              <w:pStyle w:val="TableContents"/>
              <w:bidi w:val="0"/>
              <w:spacing w:before="0" w:after="283"/>
              <w:jc w:val="center"/>
              <w:rPr>
                <w:sz w:val="20"/>
              </w:rPr>
            </w:pPr>
            <w:r>
              <w:rPr>
                <w:sz w:val="20"/>
              </w:rPr>
              <w:t>(d)</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BR</w:t>
            </w:r>
          </w:p>
        </w:tc>
        <w:tc>
          <w:tcPr>
            <w:tcW w:w="455" w:type="dxa"/>
            <w:tcBorders/>
            <w:shd w:fill="D5EAEA" w:val="clear"/>
            <w:vAlign w:val="center"/>
          </w:tcPr>
          <w:p>
            <w:pPr>
              <w:pStyle w:val="TableContents"/>
              <w:bidi w:val="0"/>
              <w:spacing w:before="0" w:after="283"/>
              <w:jc w:val="center"/>
              <w:rPr>
                <w:sz w:val="20"/>
              </w:rPr>
            </w:pPr>
            <w:r>
              <w:rPr>
                <w:sz w:val="20"/>
              </w:rPr>
              <w:t>BRL</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Patria VBI Real Estate Gestão de Carteiras Ltda. (“VBI”)</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BR</w:t>
            </w:r>
          </w:p>
        </w:tc>
        <w:tc>
          <w:tcPr>
            <w:tcW w:w="455" w:type="dxa"/>
            <w:tcBorders/>
            <w:shd w:fill="FFFFFF" w:val="clear"/>
            <w:vAlign w:val="center"/>
          </w:tcPr>
          <w:p>
            <w:pPr>
              <w:pStyle w:val="TableContents"/>
              <w:bidi w:val="0"/>
              <w:spacing w:before="0" w:after="283"/>
              <w:jc w:val="center"/>
              <w:rPr>
                <w:sz w:val="20"/>
              </w:rPr>
            </w:pPr>
            <w:r>
              <w:rPr>
                <w:sz w:val="20"/>
              </w:rPr>
              <w:t>BRL</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Patria VBI Securities Ltda. (formerly “Bari Gestao De Recursos Ltda.”)</w:t>
            </w:r>
          </w:p>
        </w:tc>
        <w:tc>
          <w:tcPr>
            <w:tcW w:w="264" w:type="dxa"/>
            <w:tcBorders/>
            <w:shd w:fill="D5EAEA" w:val="clear"/>
            <w:vAlign w:val="center"/>
          </w:tcPr>
          <w:p>
            <w:pPr>
              <w:pStyle w:val="TableContents"/>
              <w:bidi w:val="0"/>
              <w:spacing w:before="0" w:after="283"/>
              <w:jc w:val="center"/>
              <w:rPr>
                <w:sz w:val="20"/>
              </w:rPr>
            </w:pPr>
            <w:r>
              <w:rPr>
                <w:sz w:val="20"/>
              </w:rPr>
              <w:t>(d)</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BR</w:t>
            </w:r>
          </w:p>
        </w:tc>
        <w:tc>
          <w:tcPr>
            <w:tcW w:w="455" w:type="dxa"/>
            <w:tcBorders/>
            <w:shd w:fill="D5EAEA" w:val="clear"/>
            <w:vAlign w:val="center"/>
          </w:tcPr>
          <w:p>
            <w:pPr>
              <w:pStyle w:val="TableContents"/>
              <w:bidi w:val="0"/>
              <w:spacing w:before="0" w:after="283"/>
              <w:jc w:val="center"/>
              <w:rPr>
                <w:sz w:val="20"/>
              </w:rPr>
            </w:pPr>
            <w:r>
              <w:rPr>
                <w:sz w:val="20"/>
              </w:rPr>
              <w:t>BRL</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PBPE General Partner III (M),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PBPE General Partner III-A (C), Ltd.</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KY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PBPE General Partner III-B (I),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PBPE General Partner IV, Ltd.</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Investment fund manager</w:t>
            </w:r>
          </w:p>
        </w:tc>
        <w:tc>
          <w:tcPr>
            <w:tcW w:w="305" w:type="dxa"/>
            <w:tcBorders/>
            <w:shd w:fill="D5EAEA" w:val="clear"/>
            <w:vAlign w:val="center"/>
          </w:tcPr>
          <w:p>
            <w:pPr>
              <w:pStyle w:val="TableContents"/>
              <w:bidi w:val="0"/>
              <w:spacing w:before="0" w:after="283"/>
              <w:jc w:val="center"/>
              <w:rPr>
                <w:sz w:val="20"/>
              </w:rPr>
            </w:pPr>
            <w:r>
              <w:rPr>
                <w:sz w:val="20"/>
              </w:rPr>
              <w:t>KY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PBPE General Partner V,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Investment fund manager</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PCF General Partner LTD.</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KY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PEVC I General Partner IV,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Holding company</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42.92</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42.92</w:t>
              <w:tab/>
              <w:t>%</w:t>
            </w:r>
          </w:p>
        </w:tc>
      </w:tr>
      <w:tr>
        <w:trPr/>
        <w:tc>
          <w:tcPr>
            <w:tcW w:w="4255" w:type="dxa"/>
            <w:tcBorders/>
            <w:shd w:fill="D5EAEA" w:val="clear"/>
            <w:vAlign w:val="center"/>
          </w:tcPr>
          <w:p>
            <w:pPr>
              <w:pStyle w:val="TableContents"/>
              <w:bidi w:val="0"/>
              <w:spacing w:before="0" w:after="283"/>
              <w:jc w:val="left"/>
              <w:rPr>
                <w:sz w:val="20"/>
              </w:rPr>
            </w:pPr>
            <w:r>
              <w:rPr>
                <w:sz w:val="20"/>
              </w:rPr>
              <w:t>PI Feeder General Partner II (I), Ltd.</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KY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PI General Partner II (M),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PI General Partner II-2 (C), Ltd.</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KY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PI General Partner V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Investment fund manager</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PI Renewables General Partner, Ltd.</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Investment fund manager</w:t>
            </w:r>
          </w:p>
        </w:tc>
        <w:tc>
          <w:tcPr>
            <w:tcW w:w="305" w:type="dxa"/>
            <w:tcBorders/>
            <w:shd w:fill="D5EAEA" w:val="clear"/>
            <w:vAlign w:val="center"/>
          </w:tcPr>
          <w:p>
            <w:pPr>
              <w:pStyle w:val="TableContents"/>
              <w:bidi w:val="0"/>
              <w:spacing w:before="0" w:after="283"/>
              <w:jc w:val="center"/>
              <w:rPr>
                <w:sz w:val="20"/>
              </w:rPr>
            </w:pPr>
            <w:r>
              <w:rPr>
                <w:sz w:val="20"/>
              </w:rPr>
              <w:t>KY</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PIFACI-B General Partner,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Platam Investments Brazil Ltda.</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Asset management &amp; administration</w:t>
            </w:r>
          </w:p>
        </w:tc>
        <w:tc>
          <w:tcPr>
            <w:tcW w:w="305" w:type="dxa"/>
            <w:tcBorders/>
            <w:shd w:fill="D5EAEA" w:val="clear"/>
            <w:vAlign w:val="center"/>
          </w:tcPr>
          <w:p>
            <w:pPr>
              <w:pStyle w:val="TableContents"/>
              <w:bidi w:val="0"/>
              <w:spacing w:before="0" w:after="283"/>
              <w:jc w:val="center"/>
              <w:rPr>
                <w:sz w:val="20"/>
              </w:rPr>
            </w:pPr>
            <w:r>
              <w:rPr>
                <w:sz w:val="20"/>
              </w:rPr>
              <w:t>BR</w:t>
            </w:r>
          </w:p>
        </w:tc>
        <w:tc>
          <w:tcPr>
            <w:tcW w:w="455" w:type="dxa"/>
            <w:tcBorders/>
            <w:shd w:fill="D5EAEA" w:val="clear"/>
            <w:vAlign w:val="center"/>
          </w:tcPr>
          <w:p>
            <w:pPr>
              <w:pStyle w:val="TableContents"/>
              <w:bidi w:val="0"/>
              <w:spacing w:before="0" w:after="283"/>
              <w:jc w:val="center"/>
              <w:rPr>
                <w:sz w:val="20"/>
              </w:rPr>
            </w:pPr>
            <w:r>
              <w:rPr>
                <w:sz w:val="20"/>
              </w:rPr>
              <w:t>BRL</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PPE General Partner VII, Ltd.</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Investment fund manager</w:t>
            </w:r>
          </w:p>
        </w:tc>
        <w:tc>
          <w:tcPr>
            <w:tcW w:w="305" w:type="dxa"/>
            <w:tcBorders/>
            <w:shd w:fill="FFFFFF" w:val="clear"/>
            <w:vAlign w:val="center"/>
          </w:tcPr>
          <w:p>
            <w:pPr>
              <w:pStyle w:val="TableContents"/>
              <w:bidi w:val="0"/>
              <w:spacing w:before="0" w:after="283"/>
              <w:jc w:val="center"/>
              <w:rPr>
                <w:sz w:val="20"/>
              </w:rPr>
            </w:pPr>
            <w:r>
              <w:rPr>
                <w:sz w:val="20"/>
              </w:rPr>
              <w:t>KY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Private Equity Fund IV GP, LLC</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US</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Private Equity Fund V General Partner, LLC</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US</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Private Equity Investments IV GP, LLC</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US</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Private Equity Investments V General Partner, LLC</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US</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Private Equity Opportunities IV GP, LLC</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US</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FFFFFF" w:val="clear"/>
            <w:vAlign w:val="center"/>
          </w:tcPr>
          <w:p>
            <w:pPr>
              <w:pStyle w:val="TableContents"/>
              <w:bidi w:val="0"/>
              <w:spacing w:before="0" w:after="283"/>
              <w:jc w:val="left"/>
              <w:rPr>
                <w:sz w:val="20"/>
              </w:rPr>
            </w:pPr>
            <w:r>
              <w:rPr>
                <w:sz w:val="20"/>
              </w:rPr>
              <w:t>Private Equity Opportunities V General Partner, LLC</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US</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SH Manco Holding Ltda.</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Holding company</w:t>
            </w:r>
          </w:p>
        </w:tc>
        <w:tc>
          <w:tcPr>
            <w:tcW w:w="305" w:type="dxa"/>
            <w:tcBorders/>
            <w:shd w:fill="D5EAEA" w:val="clear"/>
            <w:vAlign w:val="center"/>
          </w:tcPr>
          <w:p>
            <w:pPr>
              <w:pStyle w:val="TableContents"/>
              <w:bidi w:val="0"/>
              <w:spacing w:before="0" w:after="283"/>
              <w:jc w:val="center"/>
              <w:rPr>
                <w:sz w:val="20"/>
              </w:rPr>
            </w:pPr>
            <w:r>
              <w:rPr>
                <w:sz w:val="20"/>
              </w:rPr>
              <w:t>BR</w:t>
            </w:r>
          </w:p>
        </w:tc>
        <w:tc>
          <w:tcPr>
            <w:tcW w:w="455" w:type="dxa"/>
            <w:tcBorders/>
            <w:shd w:fill="D5EAEA" w:val="clear"/>
            <w:vAlign w:val="center"/>
          </w:tcPr>
          <w:p>
            <w:pPr>
              <w:pStyle w:val="TableContents"/>
              <w:bidi w:val="0"/>
              <w:spacing w:before="0" w:after="283"/>
              <w:jc w:val="center"/>
              <w:rPr>
                <w:sz w:val="20"/>
              </w:rPr>
            </w:pPr>
            <w:r>
              <w:rPr>
                <w:sz w:val="20"/>
              </w:rPr>
              <w:t>BRL</w:t>
            </w:r>
          </w:p>
        </w:tc>
        <w:tc>
          <w:tcPr>
            <w:tcW w:w="1346" w:type="dxa"/>
            <w:tcBorders/>
            <w:shd w:fill="D5EAEA" w:val="clear"/>
            <w:vAlign w:val="center"/>
          </w:tcPr>
          <w:p>
            <w:pPr>
              <w:pStyle w:val="TableContents"/>
              <w:bidi w:val="0"/>
              <w:spacing w:before="0" w:after="283"/>
              <w:jc w:val="right"/>
              <w:rPr>
                <w:sz w:val="20"/>
              </w:rPr>
            </w:pPr>
            <w:r>
              <w:rPr>
                <w:sz w:val="20"/>
              </w:rPr>
              <w:tab/>
              <w:t>75.00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75.00</w:t>
              <w:tab/>
              <w:t>%</w:t>
            </w:r>
          </w:p>
        </w:tc>
      </w:tr>
      <w:tr>
        <w:trPr/>
        <w:tc>
          <w:tcPr>
            <w:tcW w:w="4255" w:type="dxa"/>
            <w:tcBorders/>
            <w:shd w:fill="FFFFFF" w:val="clear"/>
            <w:vAlign w:val="center"/>
          </w:tcPr>
          <w:p>
            <w:pPr>
              <w:pStyle w:val="TableContents"/>
              <w:bidi w:val="0"/>
              <w:spacing w:before="0" w:after="283"/>
              <w:jc w:val="left"/>
              <w:rPr>
                <w:sz w:val="20"/>
              </w:rPr>
            </w:pPr>
            <w:r>
              <w:rPr>
                <w:sz w:val="20"/>
              </w:rPr>
              <w:t>Solis Investimentos Ltda. ("Solis")</w:t>
            </w:r>
          </w:p>
        </w:tc>
        <w:tc>
          <w:tcPr>
            <w:tcW w:w="264" w:type="dxa"/>
            <w:tcBorders/>
            <w:shd w:fill="FFFFFF" w:val="clear"/>
            <w:vAlign w:val="center"/>
          </w:tcPr>
          <w:p>
            <w:pPr>
              <w:pStyle w:val="TableContents"/>
              <w:bidi w:val="0"/>
              <w:spacing w:before="0" w:after="283"/>
              <w:jc w:val="center"/>
              <w:rPr>
                <w:sz w:val="20"/>
              </w:rPr>
            </w:pPr>
            <w:r>
              <w:rPr>
                <w:sz w:val="20"/>
              </w:rPr>
              <w:t>(a)</w:t>
            </w:r>
          </w:p>
        </w:tc>
        <w:tc>
          <w:tcPr>
            <w:tcW w:w="2877" w:type="dxa"/>
            <w:tcBorders/>
            <w:shd w:fill="FFFFFF" w:val="clear"/>
            <w:vAlign w:val="center"/>
          </w:tcPr>
          <w:p>
            <w:pPr>
              <w:pStyle w:val="TableContents"/>
              <w:bidi w:val="0"/>
              <w:spacing w:before="0" w:after="283"/>
              <w:jc w:val="center"/>
              <w:rPr>
                <w:sz w:val="20"/>
              </w:rPr>
            </w:pPr>
            <w:r>
              <w:rPr>
                <w:sz w:val="20"/>
              </w:rPr>
              <w:t>Asset management &amp; administration</w:t>
            </w:r>
          </w:p>
        </w:tc>
        <w:tc>
          <w:tcPr>
            <w:tcW w:w="305" w:type="dxa"/>
            <w:tcBorders/>
            <w:shd w:fill="FFFFFF" w:val="clear"/>
            <w:vAlign w:val="center"/>
          </w:tcPr>
          <w:p>
            <w:pPr>
              <w:pStyle w:val="TableContents"/>
              <w:bidi w:val="0"/>
              <w:spacing w:before="0" w:after="283"/>
              <w:jc w:val="center"/>
              <w:rPr>
                <w:sz w:val="20"/>
              </w:rPr>
            </w:pPr>
            <w:r>
              <w:rPr>
                <w:sz w:val="20"/>
              </w:rPr>
              <w:t>BR</w:t>
            </w:r>
          </w:p>
        </w:tc>
        <w:tc>
          <w:tcPr>
            <w:tcW w:w="455" w:type="dxa"/>
            <w:tcBorders/>
            <w:shd w:fill="FFFFFF" w:val="clear"/>
            <w:vAlign w:val="center"/>
          </w:tcPr>
          <w:p>
            <w:pPr>
              <w:pStyle w:val="TableContents"/>
              <w:bidi w:val="0"/>
              <w:spacing w:before="0" w:after="283"/>
              <w:jc w:val="center"/>
              <w:rPr>
                <w:sz w:val="20"/>
              </w:rPr>
            </w:pPr>
            <w:r>
              <w:rPr>
                <w:sz w:val="20"/>
              </w:rPr>
              <w:t>BRL</w:t>
            </w:r>
          </w:p>
        </w:tc>
        <w:tc>
          <w:tcPr>
            <w:tcW w:w="1346" w:type="dxa"/>
            <w:tcBorders/>
            <w:shd w:fill="FFFFFF" w:val="clear"/>
            <w:vAlign w:val="center"/>
          </w:tcPr>
          <w:p>
            <w:pPr>
              <w:pStyle w:val="TableContents"/>
              <w:bidi w:val="0"/>
              <w:spacing w:before="0" w:after="283"/>
              <w:jc w:val="right"/>
              <w:rPr>
                <w:sz w:val="20"/>
              </w:rPr>
            </w:pPr>
            <w:r>
              <w:rPr>
                <w:sz w:val="20"/>
              </w:rPr>
              <w:tab/>
              <w:t>51.00 %</w:t>
            </w:r>
          </w:p>
        </w:tc>
        <w:tc>
          <w:tcPr>
            <w:tcW w:w="703" w:type="dxa"/>
            <w:tcBorders/>
            <w:shd w:fill="FFFFFF" w:val="clear"/>
            <w:vAlign w:val="center"/>
          </w:tcPr>
          <w:p>
            <w:pPr>
              <w:pStyle w:val="TableContents"/>
              <w:bidi w:val="0"/>
              <w:spacing w:before="0" w:after="283"/>
              <w:ind w:left="0" w:right="0" w:hanging="0"/>
              <w:jc w:val="right"/>
              <w:rPr>
                <w:sz w:val="20"/>
              </w:rPr>
            </w:pPr>
            <w:r>
              <w:rPr>
                <w:sz w:val="20"/>
              </w:rPr>
              <w:t>-</w:t>
            </w:r>
          </w:p>
        </w:tc>
      </w:tr>
      <w:tr>
        <w:trPr/>
        <w:tc>
          <w:tcPr>
            <w:tcW w:w="4255" w:type="dxa"/>
            <w:tcBorders/>
            <w:shd w:fill="D5EAEA" w:val="clear"/>
            <w:vAlign w:val="center"/>
          </w:tcPr>
          <w:p>
            <w:pPr>
              <w:pStyle w:val="TableContents"/>
              <w:bidi w:val="0"/>
              <w:spacing w:before="0" w:after="283"/>
              <w:jc w:val="left"/>
              <w:rPr>
                <w:sz w:val="20"/>
              </w:rPr>
            </w:pPr>
            <w:r>
              <w:rPr>
                <w:sz w:val="20"/>
              </w:rPr>
              <w:t>Tria Comercializadora de Energía S.A. (“Tria”)</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Energy trading company</w:t>
            </w:r>
          </w:p>
        </w:tc>
        <w:tc>
          <w:tcPr>
            <w:tcW w:w="305" w:type="dxa"/>
            <w:tcBorders/>
            <w:shd w:fill="D5EAEA" w:val="clear"/>
            <w:vAlign w:val="center"/>
          </w:tcPr>
          <w:p>
            <w:pPr>
              <w:pStyle w:val="TableContents"/>
              <w:bidi w:val="0"/>
              <w:spacing w:before="0" w:after="283"/>
              <w:jc w:val="center"/>
              <w:rPr>
                <w:sz w:val="20"/>
              </w:rPr>
            </w:pPr>
            <w:r>
              <w:rPr>
                <w:sz w:val="20"/>
              </w:rPr>
              <w:t>BR</w:t>
            </w:r>
          </w:p>
        </w:tc>
        <w:tc>
          <w:tcPr>
            <w:tcW w:w="455" w:type="dxa"/>
            <w:tcBorders/>
            <w:shd w:fill="D5EAEA" w:val="clear"/>
            <w:vAlign w:val="center"/>
          </w:tcPr>
          <w:p>
            <w:pPr>
              <w:pStyle w:val="TableContents"/>
              <w:bidi w:val="0"/>
              <w:spacing w:before="0" w:after="283"/>
              <w:jc w:val="center"/>
              <w:rPr>
                <w:sz w:val="20"/>
              </w:rPr>
            </w:pPr>
            <w:r>
              <w:rPr>
                <w:sz w:val="20"/>
              </w:rPr>
              <w:t>BRL</w:t>
            </w:r>
          </w:p>
        </w:tc>
        <w:tc>
          <w:tcPr>
            <w:tcW w:w="1346" w:type="dxa"/>
            <w:tcBorders/>
            <w:shd w:fill="D5EAEA" w:val="clear"/>
            <w:vAlign w:val="center"/>
          </w:tcPr>
          <w:p>
            <w:pPr>
              <w:pStyle w:val="TableContents"/>
              <w:bidi w:val="0"/>
              <w:spacing w:before="0" w:after="283"/>
              <w:jc w:val="right"/>
              <w:rPr>
                <w:sz w:val="20"/>
              </w:rPr>
            </w:pPr>
            <w:r>
              <w:rPr>
                <w:sz w:val="20"/>
              </w:rPr>
              <w:tab/>
              <w:t>   58.90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58.90%</w:t>
            </w:r>
          </w:p>
        </w:tc>
      </w:tr>
      <w:tr>
        <w:trPr/>
        <w:tc>
          <w:tcPr>
            <w:tcW w:w="4255" w:type="dxa"/>
            <w:tcBorders/>
            <w:shd w:fill="FFFFFF" w:val="clear"/>
            <w:vAlign w:val="center"/>
          </w:tcPr>
          <w:p>
            <w:pPr>
              <w:pStyle w:val="TableContents"/>
              <w:bidi w:val="0"/>
              <w:spacing w:before="0" w:after="283"/>
              <w:jc w:val="left"/>
              <w:rPr>
                <w:sz w:val="20"/>
              </w:rPr>
            </w:pPr>
            <w:r>
              <w:rPr>
                <w:sz w:val="20"/>
              </w:rPr>
              <w:t>Tria Energia Varejista Ltda.</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Energy trading company</w:t>
            </w:r>
          </w:p>
        </w:tc>
        <w:tc>
          <w:tcPr>
            <w:tcW w:w="305" w:type="dxa"/>
            <w:tcBorders/>
            <w:shd w:fill="FFFFFF" w:val="clear"/>
            <w:vAlign w:val="center"/>
          </w:tcPr>
          <w:p>
            <w:pPr>
              <w:pStyle w:val="TableContents"/>
              <w:bidi w:val="0"/>
              <w:spacing w:before="0" w:after="283"/>
              <w:jc w:val="center"/>
              <w:rPr>
                <w:sz w:val="20"/>
              </w:rPr>
            </w:pPr>
            <w:r>
              <w:rPr>
                <w:sz w:val="20"/>
              </w:rPr>
              <w:t>BR</w:t>
            </w:r>
          </w:p>
        </w:tc>
        <w:tc>
          <w:tcPr>
            <w:tcW w:w="455" w:type="dxa"/>
            <w:tcBorders/>
            <w:shd w:fill="FFFFFF" w:val="clear"/>
            <w:vAlign w:val="center"/>
          </w:tcPr>
          <w:p>
            <w:pPr>
              <w:pStyle w:val="TableContents"/>
              <w:bidi w:val="0"/>
              <w:spacing w:before="0" w:after="283"/>
              <w:jc w:val="center"/>
              <w:rPr>
                <w:sz w:val="20"/>
              </w:rPr>
            </w:pPr>
            <w:r>
              <w:rPr>
                <w:sz w:val="20"/>
              </w:rPr>
              <w:t>BRL</w:t>
            </w:r>
          </w:p>
        </w:tc>
        <w:tc>
          <w:tcPr>
            <w:tcW w:w="1346" w:type="dxa"/>
            <w:tcBorders/>
            <w:shd w:fill="FFFFFF" w:val="clear"/>
            <w:vAlign w:val="center"/>
          </w:tcPr>
          <w:p>
            <w:pPr>
              <w:pStyle w:val="TableContents"/>
              <w:bidi w:val="0"/>
              <w:spacing w:before="0" w:after="283"/>
              <w:jc w:val="right"/>
              <w:rPr>
                <w:sz w:val="20"/>
              </w:rPr>
            </w:pPr>
            <w:r>
              <w:rPr>
                <w:sz w:val="20"/>
              </w:rPr>
              <w:tab/>
              <w:t>58.90%</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58.90 %</w:t>
            </w:r>
          </w:p>
        </w:tc>
      </w:tr>
      <w:tr>
        <w:trPr/>
        <w:tc>
          <w:tcPr>
            <w:tcW w:w="4255" w:type="dxa"/>
            <w:tcBorders/>
            <w:shd w:fill="D5EAEA" w:val="clear"/>
            <w:vAlign w:val="center"/>
          </w:tcPr>
          <w:p>
            <w:pPr>
              <w:pStyle w:val="TableContents"/>
              <w:bidi w:val="0"/>
              <w:spacing w:before="0" w:after="283"/>
              <w:jc w:val="left"/>
              <w:rPr>
                <w:sz w:val="20"/>
              </w:rPr>
            </w:pPr>
            <w:r>
              <w:rPr>
                <w:sz w:val="20"/>
              </w:rPr>
              <w:t>Tria Energy Colombia S.A.S.</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Energy trading company</w:t>
            </w:r>
          </w:p>
        </w:tc>
        <w:tc>
          <w:tcPr>
            <w:tcW w:w="305" w:type="dxa"/>
            <w:tcBorders/>
            <w:shd w:fill="D5EAEA" w:val="clear"/>
            <w:vAlign w:val="center"/>
          </w:tcPr>
          <w:p>
            <w:pPr>
              <w:pStyle w:val="TableContents"/>
              <w:bidi w:val="0"/>
              <w:spacing w:before="0" w:after="283"/>
              <w:jc w:val="center"/>
              <w:rPr>
                <w:sz w:val="20"/>
              </w:rPr>
            </w:pPr>
            <w:r>
              <w:rPr>
                <w:sz w:val="20"/>
              </w:rPr>
              <w:t>CO</w:t>
            </w:r>
          </w:p>
        </w:tc>
        <w:tc>
          <w:tcPr>
            <w:tcW w:w="455" w:type="dxa"/>
            <w:tcBorders/>
            <w:shd w:fill="D5EAEA" w:val="clear"/>
            <w:vAlign w:val="center"/>
          </w:tcPr>
          <w:p>
            <w:pPr>
              <w:pStyle w:val="TableContents"/>
              <w:bidi w:val="0"/>
              <w:spacing w:before="0" w:after="283"/>
              <w:jc w:val="center"/>
              <w:rPr>
                <w:sz w:val="20"/>
              </w:rPr>
            </w:pPr>
            <w:r>
              <w:rPr>
                <w:sz w:val="20"/>
              </w:rPr>
              <w:t>COP</w:t>
            </w:r>
          </w:p>
        </w:tc>
        <w:tc>
          <w:tcPr>
            <w:tcW w:w="1346" w:type="dxa"/>
            <w:tcBorders/>
            <w:shd w:fill="D5EAEA" w:val="clear"/>
            <w:vAlign w:val="center"/>
          </w:tcPr>
          <w:p>
            <w:pPr>
              <w:pStyle w:val="TableContents"/>
              <w:bidi w:val="0"/>
              <w:spacing w:before="0" w:after="283"/>
              <w:jc w:val="right"/>
              <w:rPr>
                <w:sz w:val="20"/>
              </w:rPr>
            </w:pPr>
            <w:r>
              <w:rPr>
                <w:sz w:val="20"/>
              </w:rPr>
              <w:tab/>
              <w:t>80.00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ab/>
              <w:t>80.00</w:t>
              <w:tab/>
              <w:t>%</w:t>
            </w:r>
          </w:p>
        </w:tc>
      </w:tr>
      <w:tr>
        <w:trPr/>
        <w:tc>
          <w:tcPr>
            <w:tcW w:w="4255" w:type="dxa"/>
            <w:tcBorders/>
            <w:shd w:fill="FFFFFF" w:val="clear"/>
            <w:vAlign w:val="center"/>
          </w:tcPr>
          <w:p>
            <w:pPr>
              <w:pStyle w:val="TableContents"/>
              <w:bidi w:val="0"/>
              <w:spacing w:before="0" w:after="283"/>
              <w:jc w:val="left"/>
              <w:rPr>
                <w:sz w:val="20"/>
              </w:rPr>
            </w:pPr>
            <w:r>
              <w:rPr>
                <w:sz w:val="20"/>
              </w:rPr>
              <w:t>Tria Holding Uruguay S.A.A.</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Energy trading company</w:t>
            </w:r>
          </w:p>
        </w:tc>
        <w:tc>
          <w:tcPr>
            <w:tcW w:w="305" w:type="dxa"/>
            <w:tcBorders/>
            <w:shd w:fill="FFFFFF" w:val="clear"/>
            <w:vAlign w:val="center"/>
          </w:tcPr>
          <w:p>
            <w:pPr>
              <w:pStyle w:val="TableContents"/>
              <w:bidi w:val="0"/>
              <w:spacing w:before="0" w:after="283"/>
              <w:jc w:val="center"/>
              <w:rPr>
                <w:sz w:val="20"/>
              </w:rPr>
            </w:pPr>
            <w:r>
              <w:rPr>
                <w:sz w:val="20"/>
              </w:rPr>
              <w:t>UY</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pPr>
            <w:r>
              <w:rPr/>
              <w:t>           </w:t>
            </w:r>
            <w:r>
              <w:rPr>
                <w:sz w:val="20"/>
              </w:rPr>
              <w:t>100.00%</w:t>
            </w:r>
          </w:p>
        </w:tc>
        <w:tc>
          <w:tcPr>
            <w:tcW w:w="703" w:type="dxa"/>
            <w:tcBorders/>
            <w:shd w:fill="FFFFFF" w:val="clear"/>
            <w:vAlign w:val="center"/>
          </w:tcPr>
          <w:p>
            <w:pPr>
              <w:pStyle w:val="TableContents"/>
              <w:bidi w:val="0"/>
              <w:spacing w:before="0" w:after="283"/>
              <w:ind w:left="0" w:right="0" w:hanging="0"/>
              <w:jc w:val="right"/>
              <w:rPr>
                <w:sz w:val="20"/>
              </w:rPr>
            </w:pPr>
            <w:r>
              <w:rPr>
                <w:sz w:val="20"/>
              </w:rPr>
              <w:t>-</w:t>
            </w:r>
          </w:p>
        </w:tc>
      </w:tr>
      <w:tr>
        <w:trPr/>
        <w:tc>
          <w:tcPr>
            <w:tcW w:w="4255" w:type="dxa"/>
            <w:tcBorders/>
            <w:shd w:fill="D5EAEA" w:val="clear"/>
            <w:vAlign w:val="center"/>
          </w:tcPr>
          <w:p>
            <w:pPr>
              <w:pStyle w:val="TableContents"/>
              <w:bidi w:val="0"/>
              <w:spacing w:before="0" w:after="283"/>
              <w:jc w:val="left"/>
              <w:rPr>
                <w:sz w:val="20"/>
              </w:rPr>
            </w:pPr>
            <w:r>
              <w:rPr>
                <w:sz w:val="20"/>
              </w:rPr>
              <w:t>Tria Sugar Brasil Ltda.</w:t>
            </w:r>
          </w:p>
        </w:tc>
        <w:tc>
          <w:tcPr>
            <w:tcW w:w="264" w:type="dxa"/>
            <w:tcBorders/>
            <w:shd w:fill="D5EAEA" w:val="clear"/>
            <w:vAlign w:val="center"/>
          </w:tcPr>
          <w:p>
            <w:pPr>
              <w:pStyle w:val="TableContents"/>
              <w:bidi w:val="0"/>
              <w:spacing w:before="0" w:after="283"/>
              <w:jc w:val="center"/>
              <w:rPr/>
            </w:pPr>
            <w:r>
              <w:rPr/>
              <w:t> </w:t>
            </w:r>
          </w:p>
        </w:tc>
        <w:tc>
          <w:tcPr>
            <w:tcW w:w="2877" w:type="dxa"/>
            <w:tcBorders/>
            <w:shd w:fill="D5EAEA" w:val="clear"/>
            <w:vAlign w:val="center"/>
          </w:tcPr>
          <w:p>
            <w:pPr>
              <w:pStyle w:val="TableContents"/>
              <w:bidi w:val="0"/>
              <w:spacing w:before="0" w:after="283"/>
              <w:jc w:val="center"/>
              <w:rPr>
                <w:sz w:val="20"/>
              </w:rPr>
            </w:pPr>
            <w:r>
              <w:rPr>
                <w:sz w:val="20"/>
              </w:rPr>
              <w:t>Energy trading company</w:t>
            </w:r>
          </w:p>
        </w:tc>
        <w:tc>
          <w:tcPr>
            <w:tcW w:w="305" w:type="dxa"/>
            <w:tcBorders/>
            <w:shd w:fill="D5EAEA" w:val="clear"/>
            <w:vAlign w:val="center"/>
          </w:tcPr>
          <w:p>
            <w:pPr>
              <w:pStyle w:val="TableContents"/>
              <w:bidi w:val="0"/>
              <w:spacing w:before="0" w:after="283"/>
              <w:jc w:val="center"/>
              <w:rPr>
                <w:sz w:val="20"/>
              </w:rPr>
            </w:pPr>
            <w:r>
              <w:rPr>
                <w:sz w:val="20"/>
              </w:rPr>
              <w:t>BR</w:t>
            </w:r>
          </w:p>
        </w:tc>
        <w:tc>
          <w:tcPr>
            <w:tcW w:w="455" w:type="dxa"/>
            <w:tcBorders/>
            <w:shd w:fill="D5EAEA" w:val="clear"/>
            <w:vAlign w:val="center"/>
          </w:tcPr>
          <w:p>
            <w:pPr>
              <w:pStyle w:val="TableContents"/>
              <w:bidi w:val="0"/>
              <w:spacing w:before="0" w:after="283"/>
              <w:jc w:val="center"/>
              <w:rPr>
                <w:sz w:val="20"/>
              </w:rPr>
            </w:pPr>
            <w:r>
              <w:rPr>
                <w:sz w:val="20"/>
              </w:rPr>
              <w:t>BRL</w:t>
            </w:r>
          </w:p>
        </w:tc>
        <w:tc>
          <w:tcPr>
            <w:tcW w:w="1346" w:type="dxa"/>
            <w:tcBorders/>
            <w:shd w:fill="D5EAEA" w:val="clear"/>
            <w:vAlign w:val="center"/>
          </w:tcPr>
          <w:p>
            <w:pPr>
              <w:pStyle w:val="TableContents"/>
              <w:bidi w:val="0"/>
              <w:spacing w:before="0" w:after="283"/>
              <w:jc w:val="right"/>
              <w:rPr>
                <w:sz w:val="20"/>
              </w:rPr>
            </w:pPr>
            <w:r>
              <w:rPr>
                <w:sz w:val="20"/>
              </w:rPr>
              <w:t>58.90%</w:t>
            </w:r>
          </w:p>
        </w:tc>
        <w:tc>
          <w:tcPr>
            <w:tcW w:w="703" w:type="dxa"/>
            <w:tcBorders/>
            <w:shd w:fill="D5EAEA" w:val="clear"/>
            <w:vAlign w:val="center"/>
          </w:tcPr>
          <w:p>
            <w:pPr>
              <w:pStyle w:val="TableContents"/>
              <w:bidi w:val="0"/>
              <w:spacing w:before="0" w:after="283"/>
              <w:ind w:left="0" w:right="0" w:hanging="0"/>
              <w:jc w:val="right"/>
              <w:rPr>
                <w:sz w:val="20"/>
              </w:rPr>
            </w:pPr>
            <w:r>
              <w:rPr>
                <w:sz w:val="20"/>
              </w:rPr>
              <w:t>-</w:t>
            </w:r>
          </w:p>
        </w:tc>
      </w:tr>
      <w:tr>
        <w:trPr/>
        <w:tc>
          <w:tcPr>
            <w:tcW w:w="4255" w:type="dxa"/>
            <w:tcBorders/>
            <w:shd w:fill="FFFFFF" w:val="clear"/>
            <w:vAlign w:val="center"/>
          </w:tcPr>
          <w:p>
            <w:pPr>
              <w:pStyle w:val="TableContents"/>
              <w:bidi w:val="0"/>
              <w:spacing w:before="0" w:after="283"/>
              <w:jc w:val="left"/>
              <w:rPr>
                <w:sz w:val="20"/>
              </w:rPr>
            </w:pPr>
            <w:r>
              <w:rPr>
                <w:sz w:val="20"/>
              </w:rPr>
              <w:t>VBI Holding Ltda (formerly NewCo BlueMacaw Partner Ltda.)</w:t>
            </w:r>
          </w:p>
        </w:tc>
        <w:tc>
          <w:tcPr>
            <w:tcW w:w="264" w:type="dxa"/>
            <w:tcBorders/>
            <w:shd w:fill="FFFFFF" w:val="clear"/>
            <w:vAlign w:val="center"/>
          </w:tcPr>
          <w:p>
            <w:pPr>
              <w:pStyle w:val="TableContents"/>
              <w:bidi w:val="0"/>
              <w:spacing w:before="0" w:after="283"/>
              <w:jc w:val="center"/>
              <w:rPr/>
            </w:pPr>
            <w:r>
              <w:rPr/>
              <w:t> </w:t>
            </w:r>
          </w:p>
        </w:tc>
        <w:tc>
          <w:tcPr>
            <w:tcW w:w="2877" w:type="dxa"/>
            <w:tcBorders/>
            <w:shd w:fill="FFFFFF" w:val="clear"/>
            <w:vAlign w:val="center"/>
          </w:tcPr>
          <w:p>
            <w:pPr>
              <w:pStyle w:val="TableContents"/>
              <w:bidi w:val="0"/>
              <w:spacing w:before="0" w:after="283"/>
              <w:jc w:val="center"/>
              <w:rPr>
                <w:sz w:val="20"/>
              </w:rPr>
            </w:pPr>
            <w:r>
              <w:rPr>
                <w:sz w:val="20"/>
              </w:rPr>
              <w:t>Holding company</w:t>
            </w:r>
          </w:p>
        </w:tc>
        <w:tc>
          <w:tcPr>
            <w:tcW w:w="305" w:type="dxa"/>
            <w:tcBorders/>
            <w:shd w:fill="FFFFFF" w:val="clear"/>
            <w:vAlign w:val="center"/>
          </w:tcPr>
          <w:p>
            <w:pPr>
              <w:pStyle w:val="TableContents"/>
              <w:bidi w:val="0"/>
              <w:spacing w:before="0" w:after="283"/>
              <w:jc w:val="center"/>
              <w:rPr>
                <w:sz w:val="20"/>
              </w:rPr>
            </w:pPr>
            <w:r>
              <w:rPr>
                <w:sz w:val="20"/>
              </w:rPr>
              <w:t>BR</w:t>
            </w:r>
          </w:p>
        </w:tc>
        <w:tc>
          <w:tcPr>
            <w:tcW w:w="455" w:type="dxa"/>
            <w:tcBorders/>
            <w:shd w:fill="FFFFFF" w:val="clear"/>
            <w:vAlign w:val="center"/>
          </w:tcPr>
          <w:p>
            <w:pPr>
              <w:pStyle w:val="TableContents"/>
              <w:bidi w:val="0"/>
              <w:spacing w:before="0" w:after="283"/>
              <w:jc w:val="center"/>
              <w:rPr>
                <w:sz w:val="20"/>
              </w:rPr>
            </w:pPr>
            <w:r>
              <w:rPr>
                <w:sz w:val="20"/>
              </w:rPr>
              <w:t>BRL</w:t>
            </w:r>
          </w:p>
        </w:tc>
        <w:tc>
          <w:tcPr>
            <w:tcW w:w="1346" w:type="dxa"/>
            <w:tcBorders/>
            <w:shd w:fill="FFFFFF" w:val="clear"/>
            <w:vAlign w:val="center"/>
          </w:tcPr>
          <w:p>
            <w:pPr>
              <w:pStyle w:val="TableContents"/>
              <w:bidi w:val="0"/>
              <w:spacing w:before="0" w:after="283"/>
              <w:jc w:val="right"/>
              <w:rPr>
                <w:sz w:val="20"/>
              </w:rPr>
            </w:pPr>
            <w:r>
              <w:rPr>
                <w:sz w:val="20"/>
              </w:rPr>
              <w:tab/>
              <w:t>100.00</w:t>
              <w:tab/>
              <w:t>%</w:t>
            </w:r>
          </w:p>
        </w:tc>
        <w:tc>
          <w:tcPr>
            <w:tcW w:w="703" w:type="dxa"/>
            <w:tcBorders/>
            <w:shd w:fill="FFFFFF" w:val="clear"/>
            <w:vAlign w:val="center"/>
          </w:tcPr>
          <w:p>
            <w:pPr>
              <w:pStyle w:val="TableContents"/>
              <w:bidi w:val="0"/>
              <w:spacing w:before="0" w:after="283"/>
              <w:ind w:left="0" w:right="0" w:hanging="0"/>
              <w:jc w:val="right"/>
              <w:rPr>
                <w:sz w:val="20"/>
              </w:rPr>
            </w:pPr>
            <w:r>
              <w:rPr>
                <w:sz w:val="20"/>
              </w:rPr>
              <w:tab/>
              <w:t>100.00</w:t>
              <w:tab/>
              <w:t>%</w:t>
            </w:r>
          </w:p>
        </w:tc>
      </w:tr>
      <w:tr>
        <w:trPr/>
        <w:tc>
          <w:tcPr>
            <w:tcW w:w="4255" w:type="dxa"/>
            <w:tcBorders/>
            <w:shd w:fill="D5EAEA" w:val="clear"/>
            <w:vAlign w:val="center"/>
          </w:tcPr>
          <w:p>
            <w:pPr>
              <w:pStyle w:val="TableContents"/>
              <w:bidi w:val="0"/>
              <w:spacing w:before="0" w:after="283"/>
              <w:jc w:val="left"/>
              <w:rPr>
                <w:sz w:val="20"/>
              </w:rPr>
            </w:pPr>
            <w:r>
              <w:rPr>
                <w:sz w:val="20"/>
              </w:rPr>
              <w:t>WP Global Partners Inc. (“WP”)</w:t>
            </w:r>
          </w:p>
        </w:tc>
        <w:tc>
          <w:tcPr>
            <w:tcW w:w="264" w:type="dxa"/>
            <w:tcBorders/>
            <w:shd w:fill="D5EAEA" w:val="clear"/>
            <w:vAlign w:val="center"/>
          </w:tcPr>
          <w:p>
            <w:pPr>
              <w:pStyle w:val="TableContents"/>
              <w:bidi w:val="0"/>
              <w:spacing w:before="0" w:after="283"/>
              <w:jc w:val="center"/>
              <w:rPr>
                <w:sz w:val="20"/>
              </w:rPr>
            </w:pPr>
            <w:r>
              <w:rPr>
                <w:sz w:val="20"/>
              </w:rPr>
              <w:t>(c)</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US </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ind w:left="0" w:right="0" w:hanging="0"/>
              <w:jc w:val="right"/>
              <w:rPr>
                <w:sz w:val="20"/>
              </w:rPr>
            </w:pPr>
            <w:r>
              <w:rPr>
                <w:sz w:val="20"/>
              </w:rPr>
              <w:t>-</w:t>
            </w:r>
          </w:p>
        </w:tc>
      </w:tr>
      <w:tr>
        <w:trPr/>
        <w:tc>
          <w:tcPr>
            <w:tcW w:w="4255" w:type="dxa"/>
            <w:tcBorders/>
            <w:shd w:fill="FFFFFF" w:val="clear"/>
            <w:vAlign w:val="center"/>
          </w:tcPr>
          <w:p>
            <w:pPr>
              <w:pStyle w:val="TableContents"/>
              <w:bidi w:val="0"/>
              <w:spacing w:before="0" w:after="283"/>
              <w:jc w:val="left"/>
              <w:rPr>
                <w:sz w:val="20"/>
              </w:rPr>
            </w:pPr>
            <w:r>
              <w:rPr>
                <w:sz w:val="20"/>
              </w:rPr>
              <w:t>WP Global Partners LLC (“WP”)</w:t>
            </w:r>
          </w:p>
        </w:tc>
        <w:tc>
          <w:tcPr>
            <w:tcW w:w="264" w:type="dxa"/>
            <w:tcBorders/>
            <w:shd w:fill="FFFFFF" w:val="clear"/>
            <w:vAlign w:val="center"/>
          </w:tcPr>
          <w:p>
            <w:pPr>
              <w:pStyle w:val="TableContents"/>
              <w:bidi w:val="0"/>
              <w:spacing w:before="0" w:after="283"/>
              <w:jc w:val="center"/>
              <w:rPr/>
            </w:pPr>
            <w:r>
              <w:rPr/>
              <w:t> </w:t>
            </w:r>
            <w:r>
              <w:rPr>
                <w:sz w:val="20"/>
              </w:rPr>
              <w:t>(c)</w:t>
            </w:r>
          </w:p>
        </w:tc>
        <w:tc>
          <w:tcPr>
            <w:tcW w:w="2877" w:type="dxa"/>
            <w:tcBorders/>
            <w:shd w:fill="FFFFFF" w:val="clear"/>
            <w:vAlign w:val="center"/>
          </w:tcPr>
          <w:p>
            <w:pPr>
              <w:pStyle w:val="TableContents"/>
              <w:bidi w:val="0"/>
              <w:spacing w:before="0" w:after="283"/>
              <w:jc w:val="center"/>
              <w:rPr>
                <w:sz w:val="20"/>
              </w:rPr>
            </w:pPr>
            <w:r>
              <w:rPr>
                <w:sz w:val="20"/>
              </w:rPr>
              <w:t>Asset management</w:t>
            </w:r>
          </w:p>
        </w:tc>
        <w:tc>
          <w:tcPr>
            <w:tcW w:w="305" w:type="dxa"/>
            <w:tcBorders/>
            <w:shd w:fill="FFFFFF" w:val="clear"/>
            <w:vAlign w:val="center"/>
          </w:tcPr>
          <w:p>
            <w:pPr>
              <w:pStyle w:val="TableContents"/>
              <w:bidi w:val="0"/>
              <w:spacing w:before="0" w:after="283"/>
              <w:jc w:val="center"/>
              <w:rPr>
                <w:sz w:val="20"/>
              </w:rPr>
            </w:pPr>
            <w:r>
              <w:rPr>
                <w:sz w:val="20"/>
              </w:rPr>
              <w:t>US</w:t>
            </w:r>
          </w:p>
        </w:tc>
        <w:tc>
          <w:tcPr>
            <w:tcW w:w="455" w:type="dxa"/>
            <w:tcBorders/>
            <w:shd w:fill="FFFFFF" w:val="clear"/>
            <w:vAlign w:val="center"/>
          </w:tcPr>
          <w:p>
            <w:pPr>
              <w:pStyle w:val="TableContents"/>
              <w:bidi w:val="0"/>
              <w:spacing w:before="0" w:after="283"/>
              <w:jc w:val="center"/>
              <w:rPr>
                <w:sz w:val="20"/>
              </w:rPr>
            </w:pPr>
            <w:r>
              <w:rPr>
                <w:sz w:val="20"/>
              </w:rPr>
              <w:t>USD</w:t>
            </w:r>
          </w:p>
        </w:tc>
        <w:tc>
          <w:tcPr>
            <w:tcW w:w="1346" w:type="dxa"/>
            <w:tcBorders/>
            <w:shd w:fill="FFFFFF" w:val="clear"/>
            <w:vAlign w:val="center"/>
          </w:tcPr>
          <w:p>
            <w:pPr>
              <w:pStyle w:val="TableContents"/>
              <w:bidi w:val="0"/>
              <w:spacing w:before="0" w:after="283"/>
              <w:jc w:val="right"/>
              <w:rPr>
                <w:sz w:val="20"/>
              </w:rPr>
            </w:pPr>
            <w:r>
              <w:rPr>
                <w:sz w:val="20"/>
              </w:rPr>
              <w:tab/>
              <w:t>100.00 %</w:t>
            </w:r>
          </w:p>
        </w:tc>
        <w:tc>
          <w:tcPr>
            <w:tcW w:w="703" w:type="dxa"/>
            <w:tcBorders/>
            <w:shd w:fill="FFFFFF" w:val="clear"/>
            <w:vAlign w:val="center"/>
          </w:tcPr>
          <w:p>
            <w:pPr>
              <w:pStyle w:val="TableContents"/>
              <w:bidi w:val="0"/>
              <w:spacing w:before="0" w:after="283"/>
              <w:ind w:left="0" w:right="0" w:hanging="0"/>
              <w:jc w:val="right"/>
              <w:rPr>
                <w:sz w:val="20"/>
              </w:rPr>
            </w:pPr>
            <w:r>
              <w:rPr>
                <w:sz w:val="20"/>
              </w:rPr>
              <w:t>-</w:t>
            </w:r>
          </w:p>
        </w:tc>
      </w:tr>
      <w:tr>
        <w:trPr/>
        <w:tc>
          <w:tcPr>
            <w:tcW w:w="4255" w:type="dxa"/>
            <w:tcBorders/>
            <w:shd w:fill="D5EAEA" w:val="clear"/>
            <w:vAlign w:val="center"/>
          </w:tcPr>
          <w:p>
            <w:pPr>
              <w:pStyle w:val="TableContents"/>
              <w:bidi w:val="0"/>
              <w:spacing w:before="0" w:after="283"/>
              <w:jc w:val="left"/>
              <w:rPr>
                <w:sz w:val="20"/>
              </w:rPr>
            </w:pPr>
            <w:r>
              <w:rPr>
                <w:sz w:val="20"/>
              </w:rPr>
              <w:t>WP Managing Members LLC (“WP”)</w:t>
            </w:r>
          </w:p>
        </w:tc>
        <w:tc>
          <w:tcPr>
            <w:tcW w:w="264" w:type="dxa"/>
            <w:tcBorders/>
            <w:shd w:fill="D5EAEA" w:val="clear"/>
            <w:vAlign w:val="center"/>
          </w:tcPr>
          <w:p>
            <w:pPr>
              <w:pStyle w:val="TableContents"/>
              <w:bidi w:val="0"/>
              <w:spacing w:before="0" w:after="283"/>
              <w:jc w:val="center"/>
              <w:rPr>
                <w:sz w:val="20"/>
              </w:rPr>
            </w:pPr>
            <w:r>
              <w:rPr>
                <w:sz w:val="20"/>
              </w:rPr>
              <w:t>(c)</w:t>
            </w:r>
          </w:p>
        </w:tc>
        <w:tc>
          <w:tcPr>
            <w:tcW w:w="2877" w:type="dxa"/>
            <w:tcBorders/>
            <w:shd w:fill="D5EAEA" w:val="clear"/>
            <w:vAlign w:val="center"/>
          </w:tcPr>
          <w:p>
            <w:pPr>
              <w:pStyle w:val="TableContents"/>
              <w:bidi w:val="0"/>
              <w:spacing w:before="0" w:after="283"/>
              <w:jc w:val="center"/>
              <w:rPr>
                <w:sz w:val="20"/>
              </w:rPr>
            </w:pPr>
            <w:r>
              <w:rPr>
                <w:sz w:val="20"/>
              </w:rPr>
              <w:t>Asset management</w:t>
            </w:r>
          </w:p>
        </w:tc>
        <w:tc>
          <w:tcPr>
            <w:tcW w:w="305" w:type="dxa"/>
            <w:tcBorders/>
            <w:shd w:fill="D5EAEA" w:val="clear"/>
            <w:vAlign w:val="center"/>
          </w:tcPr>
          <w:p>
            <w:pPr>
              <w:pStyle w:val="TableContents"/>
              <w:bidi w:val="0"/>
              <w:spacing w:before="0" w:after="283"/>
              <w:jc w:val="center"/>
              <w:rPr>
                <w:sz w:val="20"/>
              </w:rPr>
            </w:pPr>
            <w:r>
              <w:rPr>
                <w:sz w:val="20"/>
              </w:rPr>
              <w:t>US</w:t>
            </w:r>
          </w:p>
        </w:tc>
        <w:tc>
          <w:tcPr>
            <w:tcW w:w="455" w:type="dxa"/>
            <w:tcBorders/>
            <w:shd w:fill="D5EAEA" w:val="clear"/>
            <w:vAlign w:val="center"/>
          </w:tcPr>
          <w:p>
            <w:pPr>
              <w:pStyle w:val="TableContents"/>
              <w:bidi w:val="0"/>
              <w:spacing w:before="0" w:after="283"/>
              <w:jc w:val="center"/>
              <w:rPr>
                <w:sz w:val="20"/>
              </w:rPr>
            </w:pPr>
            <w:r>
              <w:rPr>
                <w:sz w:val="20"/>
              </w:rPr>
              <w:t>USD</w:t>
            </w:r>
          </w:p>
        </w:tc>
        <w:tc>
          <w:tcPr>
            <w:tcW w:w="1346" w:type="dxa"/>
            <w:tcBorders/>
            <w:shd w:fill="D5EAEA" w:val="clear"/>
            <w:vAlign w:val="center"/>
          </w:tcPr>
          <w:p>
            <w:pPr>
              <w:pStyle w:val="TableContents"/>
              <w:bidi w:val="0"/>
              <w:spacing w:before="0" w:after="283"/>
              <w:jc w:val="right"/>
              <w:rPr>
                <w:sz w:val="20"/>
              </w:rPr>
            </w:pPr>
            <w:r>
              <w:rPr>
                <w:sz w:val="20"/>
              </w:rPr>
              <w:tab/>
              <w:t>100.00</w:t>
              <w:tab/>
              <w:t>%</w:t>
            </w:r>
          </w:p>
        </w:tc>
        <w:tc>
          <w:tcPr>
            <w:tcW w:w="703" w:type="dxa"/>
            <w:tcBorders/>
            <w:shd w:fill="D5EAEA" w:val="clear"/>
            <w:vAlign w:val="center"/>
          </w:tcPr>
          <w:p>
            <w:pPr>
              <w:pStyle w:val="TableContents"/>
              <w:bidi w:val="0"/>
              <w:spacing w:before="0" w:after="283"/>
              <w:jc w:val="right"/>
              <w:rPr>
                <w:sz w:val="20"/>
              </w:rPr>
            </w:pPr>
            <w:r>
              <w:rPr>
                <w:sz w:val="20"/>
              </w:rPr>
              <w:tab/>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Currencies: "USD" United States dollars, "BRL" Brazilian Real, "GBP" Pound Sterling, "CLP" Chilean peso, "COP" Colombian peso, "HKD" Hong Kong dollar, “ARS” Argentine Peso, “MXN” Mexican Peso, “PEN” Peruvian Sol, “CNY” China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Geography: "KY" Cayman Islands, "BR" Brazil, "CO" Colombia, "CH" Chile, "UK" United Kingdom, "US" United States, “BV” British Virgin Islands, “MX” Mexico, “AR” Argentina, “UY” Uruguay, “HK” Hong Kong, “PE” Peru, “CN” China, “Lux” Luxembourg, “IT” Italy.</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On January 2, 2026, the Company acquired 51% controlling interest in Solis Investimentos Limited (“Solis”), a Brazilian investment manager specializing in structuring and management of Collateralized Loan Obligations (“CLOs). At the same date, Solis acquired 51% controlling interest in Iter Gestora de Recursos Ltda (“Iter”), an investment manager with similar business activities. See note 30.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On February 2, 2026, the Company acquired 100% interest in RBR Gestão de Recursos Ltda. ("RBR"), a Brazilian investment manager overseeing twelve funds, eleven of which are listed Real Estate Investment Trusts (“REITs”) primarily focused on credit and multi-asset strategies. The acquisition solidifies the Company’s position as one of the leading managers of listed REITs in Brazil, while further enhancing the Company’s scale in strategically critical credit and multi-asset strategies. See note 30. In February 2026, RBR was fully incorporated into PILTDA.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On April 1, 2026, the Company acquired 100% interest in WP Global Partners Inc. (“WP”), a U.S.-based private equity solutions manager, with capabilities across private equity primaries and co-investments. The acquisition enhances Patria’s Global Private Market Solutions platform, while strengthening its presence in North America. See note 30.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On July 1, 2025, and July 15, 2025, the Group acquired the contractual rights of Vectis Gestão de Recursos Ltda. (“Vectis”) and the real estate fund management rights, from Genial Investimentos (“Genial”) through Patria VBI Securities Ltda. (formerly “Bari Gestao De Recursos Ltda.”) and Patria VBI Asset Management Ltda.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t>On December 15, 2025, Pat HoldCo Servicios Corporativos S. de R.L. de C.V. acquired the fund management rights in AgroFibra, a specialized Real Estate Investment Trust ("REIT") in Mexico that is focused on agro-industrial real estate assets. Prior to 2025, the Group held 100% of Pat HoldCo Servicios Corporativos S. de R.L. de C.V. and the company had no assets or liabilities. With the acquisition of the AgroFibra fund management rights, the Group paid 51.00% of the purchase price with the non-controlling interest paying 49.00% thereof. On December 31, 2025, the Group holds 51.00% in Pat HoldCo Servicios Corporativos S. de R.L. de C.V.</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(f)</w:t>
            </w:r>
          </w:p>
        </w:tc>
        <w:tc>
          <w:tcPr>
            <w:tcW w:w="9984" w:type="dxa"/>
            <w:tcBorders/>
            <w:vAlign w:val="center"/>
          </w:tcPr>
          <w:p>
            <w:pPr>
              <w:pStyle w:val="TableContents"/>
              <w:bidi w:val="0"/>
              <w:spacing w:before="0" w:after="283"/>
              <w:jc w:val="both"/>
              <w:rPr/>
            </w:pPr>
            <w:r>
              <w:rPr/>
              <w:t>On March 11, 2026, Patria Energia Participações Ltda. was incorporated by Tria Comercializadora de Energía S.A., a wholly owned subsidiary of the Group. Patria Energia Participações Ltda. was established as a holding company and upon its incorporation, the Group held 100% ownership interest in the entity. The incorporation did not result in any significant impact on the Company’s consolidated financial position, results of operations or cash flows for the period.</w:t>
            </w:r>
          </w:p>
        </w:tc>
      </w:tr>
    </w:tbl>
    <w:p>
      <w:pPr>
        <w:pStyle w:val="TextBody"/>
        <w:bidi w:val="0"/>
        <w:spacing w:before="0" w:after="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15"/>
        <w:gridCol w:w="2525"/>
      </w:tblGrid>
      <w:tr>
        <w:trPr/>
        <w:tc>
          <w:tcPr>
            <w:tcW w:w="215" w:type="dxa"/>
            <w:tcBorders/>
            <w:vAlign w:val="center"/>
          </w:tcPr>
          <w:p>
            <w:pPr>
              <w:pStyle w:val="TableContents"/>
              <w:bidi w:val="0"/>
              <w:spacing w:before="0" w:after="283"/>
              <w:jc w:val="left"/>
              <w:rPr/>
            </w:pPr>
            <w:r>
              <w:rPr/>
              <w:t>6.</w:t>
            </w:r>
          </w:p>
        </w:tc>
        <w:tc>
          <w:tcPr>
            <w:tcW w:w="2525" w:type="dxa"/>
            <w:tcBorders/>
            <w:vAlign w:val="center"/>
          </w:tcPr>
          <w:p>
            <w:pPr>
              <w:pStyle w:val="TableContents"/>
              <w:bidi w:val="0"/>
              <w:spacing w:before="0" w:after="283"/>
              <w:jc w:val="left"/>
              <w:rPr/>
            </w:pPr>
            <w:r>
              <w:rPr/>
              <w:t>Cash and cash equivalents</w:t>
            </w:r>
          </w:p>
        </w:tc>
      </w:tr>
    </w:tbl>
    <w:p>
      <w:pPr>
        <w:pStyle w:val="TextBody"/>
        <w:bidi w:val="0"/>
        <w:spacing w:before="0" w:after="0"/>
        <w:jc w:val="left"/>
        <w:rPr>
          <w:caps w:val="false"/>
          <w:smallCaps w:val="false"/>
        </w:rPr>
      </w:pPr>
      <w:r>
        <w:rPr>
          <w:caps w:val="false"/>
          <w:smallCaps w:val="false"/>
        </w:rPr>
        <w:t> </w:t>
      </w:r>
    </w:p>
    <w:tbl>
      <w:tblPr>
        <w:tblW w:w="6915" w:type="dxa"/>
        <w:jc w:val="center"/>
        <w:tblInd w:w="0" w:type="dxa"/>
        <w:tblLayout w:type="fixed"/>
        <w:tblCellMar>
          <w:top w:w="0" w:type="dxa"/>
          <w:left w:w="0" w:type="dxa"/>
          <w:bottom w:w="0" w:type="dxa"/>
          <w:right w:w="0" w:type="dxa"/>
        </w:tblCellMar>
      </w:tblPr>
      <w:tblGrid>
        <w:gridCol w:w="4070"/>
        <w:gridCol w:w="1190"/>
        <w:gridCol w:w="1655"/>
      </w:tblGrid>
      <w:tr>
        <w:trPr/>
        <w:tc>
          <w:tcPr>
            <w:tcW w:w="407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4070" w:type="dxa"/>
            <w:tcBorders/>
            <w:shd w:fill="D5EAEA" w:val="clear"/>
            <w:vAlign w:val="center"/>
          </w:tcPr>
          <w:p>
            <w:pPr>
              <w:pStyle w:val="TableContents"/>
              <w:bidi w:val="0"/>
              <w:spacing w:before="0" w:after="283"/>
              <w:jc w:val="left"/>
              <w:rPr>
                <w:sz w:val="20"/>
              </w:rPr>
            </w:pPr>
            <w:r>
              <w:rPr>
                <w:sz w:val="20"/>
              </w:rPr>
              <w:t>Cash at bank and on hand</w:t>
            </w:r>
          </w:p>
        </w:tc>
        <w:tc>
          <w:tcPr>
            <w:tcW w:w="1190" w:type="dxa"/>
            <w:tcBorders/>
            <w:shd w:fill="D5EAEA" w:val="clear"/>
            <w:vAlign w:val="center"/>
          </w:tcPr>
          <w:p>
            <w:pPr>
              <w:pStyle w:val="TableContents"/>
              <w:bidi w:val="0"/>
              <w:spacing w:before="0" w:after="283"/>
              <w:jc w:val="right"/>
              <w:rPr>
                <w:sz w:val="20"/>
              </w:rPr>
            </w:pPr>
            <w:r>
              <w:rPr>
                <w:sz w:val="20"/>
              </w:rPr>
              <w:t>44,412</w:t>
            </w:r>
          </w:p>
        </w:tc>
        <w:tc>
          <w:tcPr>
            <w:tcW w:w="1655" w:type="dxa"/>
            <w:tcBorders/>
            <w:shd w:fill="D5EAEA" w:val="clear"/>
            <w:vAlign w:val="center"/>
          </w:tcPr>
          <w:p>
            <w:pPr>
              <w:pStyle w:val="TableContents"/>
              <w:bidi w:val="0"/>
              <w:spacing w:before="0" w:after="283"/>
              <w:jc w:val="right"/>
              <w:rPr>
                <w:sz w:val="20"/>
              </w:rPr>
            </w:pPr>
            <w:r>
              <w:rPr>
                <w:sz w:val="20"/>
              </w:rPr>
              <w:t>48,410</w:t>
            </w:r>
          </w:p>
        </w:tc>
      </w:tr>
      <w:tr>
        <w:trPr/>
        <w:tc>
          <w:tcPr>
            <w:tcW w:w="4070" w:type="dxa"/>
            <w:tcBorders/>
            <w:shd w:fill="FFFFFF" w:val="clear"/>
            <w:vAlign w:val="center"/>
          </w:tcPr>
          <w:p>
            <w:pPr>
              <w:pStyle w:val="TableContents"/>
              <w:bidi w:val="0"/>
              <w:spacing w:before="0" w:after="283"/>
              <w:jc w:val="left"/>
              <w:rPr>
                <w:sz w:val="20"/>
              </w:rPr>
            </w:pPr>
            <w:r>
              <w:rPr>
                <w:sz w:val="20"/>
              </w:rPr>
              <w:t>Short-term deposits and shares of mutual funds (a)</w:t>
            </w:r>
          </w:p>
        </w:tc>
        <w:tc>
          <w:tcPr>
            <w:tcW w:w="1190" w:type="dxa"/>
            <w:tcBorders/>
            <w:shd w:fill="FFFFFF" w:val="clear"/>
            <w:vAlign w:val="center"/>
          </w:tcPr>
          <w:p>
            <w:pPr>
              <w:pStyle w:val="TableContents"/>
              <w:bidi w:val="0"/>
              <w:spacing w:before="0" w:after="283"/>
              <w:jc w:val="right"/>
              <w:rPr>
                <w:sz w:val="20"/>
              </w:rPr>
            </w:pPr>
            <w:r>
              <w:rPr>
                <w:sz w:val="20"/>
              </w:rPr>
              <w:t>14,461</w:t>
            </w:r>
          </w:p>
        </w:tc>
        <w:tc>
          <w:tcPr>
            <w:tcW w:w="1655" w:type="dxa"/>
            <w:tcBorders/>
            <w:shd w:fill="FFFFFF" w:val="clear"/>
            <w:vAlign w:val="center"/>
          </w:tcPr>
          <w:p>
            <w:pPr>
              <w:pStyle w:val="TableContents"/>
              <w:bidi w:val="0"/>
              <w:spacing w:before="0" w:after="283"/>
              <w:jc w:val="right"/>
              <w:rPr>
                <w:sz w:val="20"/>
              </w:rPr>
            </w:pPr>
            <w:r>
              <w:rPr>
                <w:sz w:val="20"/>
              </w:rPr>
              <w:t>5,191</w:t>
            </w:r>
          </w:p>
        </w:tc>
      </w:tr>
      <w:tr>
        <w:trPr/>
        <w:tc>
          <w:tcPr>
            <w:tcW w:w="4070" w:type="dxa"/>
            <w:tcBorders/>
            <w:shd w:fill="D5EAEA" w:val="clear"/>
            <w:vAlign w:val="center"/>
          </w:tcPr>
          <w:p>
            <w:pPr>
              <w:pStyle w:val="TableContents"/>
              <w:bidi w:val="0"/>
              <w:spacing w:before="0" w:after="283"/>
              <w:jc w:val="left"/>
              <w:rPr>
                <w:b/>
                <w:sz w:val="20"/>
              </w:rPr>
            </w:pPr>
            <w:r>
              <w:rPr>
                <w:b/>
                <w:sz w:val="20"/>
              </w:rPr>
              <w:t>Cash and cash equivalents</w:t>
            </w:r>
          </w:p>
        </w:tc>
        <w:tc>
          <w:tcPr>
            <w:tcW w:w="1190"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58,873</w:t>
            </w:r>
          </w:p>
        </w:tc>
        <w:tc>
          <w:tcPr>
            <w:tcW w:w="1655"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53,601</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Short-term deposits and shares of mutual funds are cash equivalents held for the purpose of meeting short-term cash commitments with maturities of three months or less from the date of acquisition and subject to insignificant risk of changes in value.</w:t>
            </w:r>
          </w:p>
        </w:tc>
      </w:tr>
    </w:tbl>
    <w:p>
      <w:pPr>
        <w:pStyle w:val="TextBody"/>
        <w:bidi w:val="0"/>
        <w:spacing w:before="0" w:after="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215"/>
        <w:gridCol w:w="4580"/>
      </w:tblGrid>
      <w:tr>
        <w:trPr/>
        <w:tc>
          <w:tcPr>
            <w:tcW w:w="215" w:type="dxa"/>
            <w:tcBorders/>
            <w:vAlign w:val="center"/>
          </w:tcPr>
          <w:p>
            <w:pPr>
              <w:pStyle w:val="TableContents"/>
              <w:bidi w:val="0"/>
              <w:spacing w:before="0" w:after="283"/>
              <w:jc w:val="left"/>
              <w:rPr/>
            </w:pPr>
            <w:r>
              <w:rPr/>
              <w:t>7.</w:t>
            </w:r>
          </w:p>
        </w:tc>
        <w:tc>
          <w:tcPr>
            <w:tcW w:w="4580" w:type="dxa"/>
            <w:tcBorders/>
            <w:vAlign w:val="center"/>
          </w:tcPr>
          <w:p>
            <w:pPr>
              <w:pStyle w:val="TableContents"/>
              <w:bidi w:val="0"/>
              <w:spacing w:before="0" w:after="283"/>
              <w:jc w:val="left"/>
              <w:rPr/>
            </w:pPr>
            <w:r>
              <w:rPr/>
              <w:t>Client funds on deposit and client funds payable</w:t>
            </w:r>
          </w:p>
        </w:tc>
      </w:tr>
    </w:tbl>
    <w:p>
      <w:pPr>
        <w:pStyle w:val="TextBody"/>
        <w:bidi w:val="0"/>
        <w:spacing w:before="0" w:after="0"/>
        <w:jc w:val="left"/>
        <w:rPr>
          <w:caps w:val="false"/>
          <w:smallCaps w:val="false"/>
        </w:rPr>
      </w:pPr>
      <w:r>
        <w:rPr>
          <w:caps w:val="false"/>
          <w:smallCaps w:val="false"/>
        </w:rPr>
        <w:t> </w:t>
      </w:r>
    </w:p>
    <w:tbl>
      <w:tblPr>
        <w:tblW w:w="6600" w:type="dxa"/>
        <w:jc w:val="center"/>
        <w:tblInd w:w="0" w:type="dxa"/>
        <w:tblLayout w:type="fixed"/>
        <w:tblCellMar>
          <w:top w:w="0" w:type="dxa"/>
          <w:left w:w="0" w:type="dxa"/>
          <w:bottom w:w="0" w:type="dxa"/>
          <w:right w:w="0" w:type="dxa"/>
        </w:tblCellMar>
      </w:tblPr>
      <w:tblGrid>
        <w:gridCol w:w="3800"/>
        <w:gridCol w:w="1190"/>
        <w:gridCol w:w="1610"/>
      </w:tblGrid>
      <w:tr>
        <w:trPr/>
        <w:tc>
          <w:tcPr>
            <w:tcW w:w="380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color w:val="000000"/>
                <w:sz w:val="20"/>
              </w:rPr>
            </w:pPr>
            <w:r>
              <w:rPr>
                <w:b/>
                <w:color w:val="000000"/>
                <w:sz w:val="20"/>
              </w:rPr>
              <w:t>June 30, 2026</w:t>
            </w:r>
          </w:p>
        </w:tc>
        <w:tc>
          <w:tcPr>
            <w:tcW w:w="1610" w:type="dxa"/>
            <w:tcBorders>
              <w:bottom w:val="single" w:sz="8" w:space="0" w:color="000000"/>
            </w:tcBorders>
            <w:tcMar>
              <w:bottom w:w="28" w:type="dxa"/>
            </w:tcMar>
            <w:vAlign w:val="center"/>
          </w:tcPr>
          <w:p>
            <w:pPr>
              <w:pStyle w:val="TableContents"/>
              <w:bidi w:val="0"/>
              <w:spacing w:before="0" w:after="283"/>
              <w:jc w:val="right"/>
              <w:rPr>
                <w:b/>
                <w:color w:val="000000"/>
                <w:sz w:val="20"/>
              </w:rPr>
            </w:pPr>
            <w:r>
              <w:rPr>
                <w:b/>
                <w:color w:val="000000"/>
                <w:sz w:val="20"/>
              </w:rPr>
              <w:t>December 31,2025</w:t>
            </w:r>
          </w:p>
        </w:tc>
      </w:tr>
      <w:tr>
        <w:trPr/>
        <w:tc>
          <w:tcPr>
            <w:tcW w:w="3800" w:type="dxa"/>
            <w:tcBorders/>
            <w:shd w:fill="D5EAEA" w:val="clear"/>
            <w:vAlign w:val="center"/>
          </w:tcPr>
          <w:p>
            <w:pPr>
              <w:pStyle w:val="TableContents"/>
              <w:bidi w:val="0"/>
              <w:spacing w:before="0" w:after="283"/>
              <w:jc w:val="left"/>
              <w:rPr>
                <w:color w:val="000000"/>
                <w:sz w:val="20"/>
              </w:rPr>
            </w:pPr>
            <w:r>
              <w:rPr>
                <w:color w:val="000000"/>
                <w:sz w:val="20"/>
              </w:rPr>
              <w:t>Client funds on deposit</w:t>
            </w:r>
          </w:p>
        </w:tc>
        <w:tc>
          <w:tcPr>
            <w:tcW w:w="1190" w:type="dxa"/>
            <w:tcBorders/>
            <w:shd w:fill="D5EAEA" w:val="clear"/>
            <w:vAlign w:val="center"/>
          </w:tcPr>
          <w:p>
            <w:pPr>
              <w:pStyle w:val="TableContents"/>
              <w:bidi w:val="0"/>
              <w:spacing w:before="0" w:after="283"/>
              <w:jc w:val="right"/>
              <w:rPr>
                <w:color w:val="000000"/>
                <w:sz w:val="20"/>
              </w:rPr>
            </w:pPr>
            <w:r>
              <w:rPr>
                <w:color w:val="000000"/>
                <w:sz w:val="20"/>
              </w:rPr>
              <w:t>17,525</w:t>
            </w:r>
          </w:p>
        </w:tc>
        <w:tc>
          <w:tcPr>
            <w:tcW w:w="1610" w:type="dxa"/>
            <w:tcBorders/>
            <w:shd w:fill="D5EAEA" w:val="clear"/>
            <w:vAlign w:val="center"/>
          </w:tcPr>
          <w:p>
            <w:pPr>
              <w:pStyle w:val="TableContents"/>
              <w:bidi w:val="0"/>
              <w:spacing w:before="0" w:after="283"/>
              <w:jc w:val="right"/>
              <w:rPr>
                <w:color w:val="000000"/>
                <w:sz w:val="20"/>
              </w:rPr>
            </w:pPr>
            <w:r>
              <w:rPr>
                <w:color w:val="000000"/>
                <w:sz w:val="20"/>
              </w:rPr>
              <w:t>17,307</w:t>
            </w:r>
          </w:p>
        </w:tc>
      </w:tr>
      <w:tr>
        <w:trPr/>
        <w:tc>
          <w:tcPr>
            <w:tcW w:w="3800" w:type="dxa"/>
            <w:tcBorders/>
            <w:shd w:fill="FFFFFF" w:val="clear"/>
            <w:vAlign w:val="center"/>
          </w:tcPr>
          <w:p>
            <w:pPr>
              <w:pStyle w:val="TableContents"/>
              <w:bidi w:val="0"/>
              <w:spacing w:before="0" w:after="283"/>
              <w:jc w:val="left"/>
              <w:rPr>
                <w:color w:val="000000"/>
                <w:sz w:val="20"/>
              </w:rPr>
            </w:pPr>
            <w:r>
              <w:rPr>
                <w:color w:val="000000"/>
                <w:sz w:val="20"/>
              </w:rPr>
              <w:t>Other receivables from clients (a)</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color w:val="000000"/>
                <w:sz w:val="20"/>
              </w:rPr>
            </w:pPr>
            <w:r>
              <w:rPr>
                <w:color w:val="000000"/>
                <w:sz w:val="20"/>
              </w:rPr>
              <w:t>7,389</w:t>
            </w:r>
          </w:p>
        </w:tc>
        <w:tc>
          <w:tcPr>
            <w:tcW w:w="1610" w:type="dxa"/>
            <w:tcBorders>
              <w:bottom w:val="single" w:sz="8" w:space="0" w:color="000000"/>
            </w:tcBorders>
            <w:shd w:fill="FFFFFF" w:val="clear"/>
            <w:tcMar>
              <w:bottom w:w="28" w:type="dxa"/>
            </w:tcMar>
            <w:vAlign w:val="center"/>
          </w:tcPr>
          <w:p>
            <w:pPr>
              <w:pStyle w:val="TableContents"/>
              <w:bidi w:val="0"/>
              <w:spacing w:before="0" w:after="283"/>
              <w:jc w:val="right"/>
              <w:rPr>
                <w:color w:val="000000"/>
                <w:sz w:val="20"/>
              </w:rPr>
            </w:pPr>
            <w:r>
              <w:rPr>
                <w:color w:val="000000"/>
                <w:sz w:val="20"/>
              </w:rPr>
              <w:t>8,561</w:t>
            </w:r>
          </w:p>
        </w:tc>
      </w:tr>
      <w:tr>
        <w:trPr/>
        <w:tc>
          <w:tcPr>
            <w:tcW w:w="3800" w:type="dxa"/>
            <w:tcBorders/>
            <w:shd w:fill="D5EAEA" w:val="clear"/>
            <w:vAlign w:val="center"/>
          </w:tcPr>
          <w:p>
            <w:pPr>
              <w:pStyle w:val="TableContents"/>
              <w:bidi w:val="0"/>
              <w:spacing w:before="0" w:after="283"/>
              <w:jc w:val="left"/>
              <w:rPr>
                <w:b/>
                <w:color w:val="000000"/>
                <w:sz w:val="20"/>
              </w:rPr>
            </w:pPr>
            <w:r>
              <w:rPr>
                <w:b/>
                <w:color w:val="000000"/>
                <w:sz w:val="20"/>
              </w:rPr>
              <w:t>Client funds on deposit and other receivables</w:t>
            </w:r>
          </w:p>
        </w:tc>
        <w:tc>
          <w:tcPr>
            <w:tcW w:w="1190" w:type="dxa"/>
            <w:tcBorders>
              <w:bottom w:val="double" w:sz="6" w:space="0" w:color="000000"/>
            </w:tcBorders>
            <w:shd w:fill="D5EAEA" w:val="clear"/>
            <w:tcMar>
              <w:bottom w:w="28" w:type="dxa"/>
            </w:tcMar>
            <w:vAlign w:val="center"/>
          </w:tcPr>
          <w:p>
            <w:pPr>
              <w:pStyle w:val="TableContents"/>
              <w:bidi w:val="0"/>
              <w:spacing w:before="0" w:after="283"/>
              <w:jc w:val="right"/>
              <w:rPr>
                <w:b/>
                <w:color w:val="000000"/>
                <w:sz w:val="20"/>
              </w:rPr>
            </w:pPr>
            <w:r>
              <w:rPr>
                <w:b/>
                <w:color w:val="000000"/>
                <w:sz w:val="20"/>
              </w:rPr>
              <w:t>24,914</w:t>
            </w:r>
          </w:p>
        </w:tc>
        <w:tc>
          <w:tcPr>
            <w:tcW w:w="1610" w:type="dxa"/>
            <w:tcBorders>
              <w:bottom w:val="double" w:sz="6" w:space="0" w:color="000000"/>
            </w:tcBorders>
            <w:shd w:fill="D5EAEA" w:val="clear"/>
            <w:tcMar>
              <w:bottom w:w="28" w:type="dxa"/>
            </w:tcMar>
            <w:vAlign w:val="center"/>
          </w:tcPr>
          <w:p>
            <w:pPr>
              <w:pStyle w:val="TableContents"/>
              <w:bidi w:val="0"/>
              <w:spacing w:before="0" w:after="283"/>
              <w:jc w:val="right"/>
              <w:rPr>
                <w:b/>
                <w:color w:val="000000"/>
                <w:sz w:val="20"/>
              </w:rPr>
            </w:pPr>
            <w:r>
              <w:rPr>
                <w:b/>
                <w:color w:val="000000"/>
                <w:sz w:val="20"/>
              </w:rPr>
              <w:t>25,868</w:t>
            </w:r>
          </w:p>
        </w:tc>
      </w:tr>
      <w:tr>
        <w:trPr/>
        <w:tc>
          <w:tcPr>
            <w:tcW w:w="3800" w:type="dxa"/>
            <w:tcBorders/>
            <w:shd w:fill="FFFFFF" w:val="clear"/>
            <w:vAlign w:val="center"/>
          </w:tcPr>
          <w:p>
            <w:pPr>
              <w:pStyle w:val="TableContents"/>
              <w:bidi w:val="0"/>
              <w:spacing w:before="0" w:after="283"/>
              <w:jc w:val="left"/>
              <w:rPr>
                <w:color w:val="000000"/>
                <w:sz w:val="20"/>
              </w:rPr>
            </w:pPr>
            <w:r>
              <w:rPr>
                <w:color w:val="000000"/>
                <w:sz w:val="20"/>
              </w:rPr>
              <w:t>Client funds payable (a)</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color w:val="000000"/>
                <w:sz w:val="20"/>
              </w:rPr>
            </w:pPr>
            <w:r>
              <w:rPr>
                <w:color w:val="000000"/>
                <w:sz w:val="20"/>
              </w:rPr>
              <w:t>24,914</w:t>
            </w:r>
          </w:p>
        </w:tc>
        <w:tc>
          <w:tcPr>
            <w:tcW w:w="1610" w:type="dxa"/>
            <w:tcBorders>
              <w:bottom w:val="single" w:sz="8" w:space="0" w:color="000000"/>
            </w:tcBorders>
            <w:shd w:fill="FFFFFF" w:val="clear"/>
            <w:tcMar>
              <w:bottom w:w="28" w:type="dxa"/>
            </w:tcMar>
            <w:vAlign w:val="center"/>
          </w:tcPr>
          <w:p>
            <w:pPr>
              <w:pStyle w:val="TableContents"/>
              <w:bidi w:val="0"/>
              <w:spacing w:before="0" w:after="283"/>
              <w:jc w:val="right"/>
              <w:rPr>
                <w:color w:val="000000"/>
                <w:sz w:val="20"/>
              </w:rPr>
            </w:pPr>
            <w:r>
              <w:rPr>
                <w:color w:val="000000"/>
                <w:sz w:val="20"/>
              </w:rPr>
              <w:t>25,868</w:t>
            </w:r>
          </w:p>
        </w:tc>
      </w:tr>
      <w:tr>
        <w:trPr/>
        <w:tc>
          <w:tcPr>
            <w:tcW w:w="3800" w:type="dxa"/>
            <w:tcBorders/>
            <w:shd w:fill="D5EAEA" w:val="clear"/>
            <w:vAlign w:val="center"/>
          </w:tcPr>
          <w:p>
            <w:pPr>
              <w:pStyle w:val="TableContents"/>
              <w:bidi w:val="0"/>
              <w:spacing w:before="0" w:after="283"/>
              <w:jc w:val="left"/>
              <w:rPr>
                <w:b/>
                <w:color w:val="000000"/>
                <w:sz w:val="20"/>
              </w:rPr>
            </w:pPr>
            <w:r>
              <w:rPr>
                <w:b/>
                <w:color w:val="000000"/>
                <w:sz w:val="20"/>
              </w:rPr>
              <w:t>Client funds payable</w:t>
            </w:r>
          </w:p>
        </w:tc>
        <w:tc>
          <w:tcPr>
            <w:tcW w:w="1190" w:type="dxa"/>
            <w:tcBorders>
              <w:bottom w:val="double" w:sz="6" w:space="0" w:color="000000"/>
            </w:tcBorders>
            <w:shd w:fill="D5EAEA" w:val="clear"/>
            <w:tcMar>
              <w:bottom w:w="28" w:type="dxa"/>
            </w:tcMar>
            <w:vAlign w:val="center"/>
          </w:tcPr>
          <w:p>
            <w:pPr>
              <w:pStyle w:val="TableContents"/>
              <w:bidi w:val="0"/>
              <w:spacing w:before="0" w:after="283"/>
              <w:jc w:val="right"/>
              <w:rPr>
                <w:b/>
                <w:color w:val="000000"/>
                <w:sz w:val="20"/>
              </w:rPr>
            </w:pPr>
            <w:r>
              <w:rPr>
                <w:b/>
                <w:color w:val="000000"/>
                <w:sz w:val="20"/>
              </w:rPr>
              <w:t>24,914</w:t>
            </w:r>
          </w:p>
        </w:tc>
        <w:tc>
          <w:tcPr>
            <w:tcW w:w="1610" w:type="dxa"/>
            <w:tcBorders>
              <w:bottom w:val="double" w:sz="6" w:space="0" w:color="000000"/>
            </w:tcBorders>
            <w:shd w:fill="D5EAEA" w:val="clear"/>
            <w:tcMar>
              <w:bottom w:w="28" w:type="dxa"/>
            </w:tcMar>
            <w:vAlign w:val="center"/>
          </w:tcPr>
          <w:p>
            <w:pPr>
              <w:pStyle w:val="TableContents"/>
              <w:bidi w:val="0"/>
              <w:spacing w:before="0" w:after="283"/>
              <w:jc w:val="right"/>
              <w:rPr>
                <w:b/>
                <w:color w:val="000000"/>
                <w:sz w:val="20"/>
              </w:rPr>
            </w:pPr>
            <w:r>
              <w:rPr>
                <w:b/>
                <w:color w:val="000000"/>
                <w:sz w:val="20"/>
              </w:rPr>
              <w:t>25,868</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928" w:type="dxa"/>
            <w:tcBorders/>
            <w:vAlign w:val="center"/>
          </w:tcPr>
          <w:p>
            <w:pPr>
              <w:pStyle w:val="TableContents"/>
              <w:bidi w:val="0"/>
              <w:spacing w:before="0" w:after="283"/>
              <w:jc w:val="both"/>
              <w:rPr/>
            </w:pPr>
            <w:r>
              <w:rPr/>
              <w:t>Other receivables from clients and client funds payable are unsettled trades from brokerage activities for client transactions that are entered into and recorded on the date of the transaction.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15"/>
        <w:gridCol w:w="1955"/>
      </w:tblGrid>
      <w:tr>
        <w:trPr/>
        <w:tc>
          <w:tcPr>
            <w:tcW w:w="215" w:type="dxa"/>
            <w:tcBorders/>
            <w:vAlign w:val="center"/>
          </w:tcPr>
          <w:p>
            <w:pPr>
              <w:pStyle w:val="TableContents"/>
              <w:bidi w:val="0"/>
              <w:spacing w:before="0" w:after="283"/>
              <w:jc w:val="left"/>
              <w:rPr/>
            </w:pPr>
            <w:r>
              <w:rPr/>
              <w:t>8.</w:t>
            </w:r>
          </w:p>
        </w:tc>
        <w:tc>
          <w:tcPr>
            <w:tcW w:w="1955" w:type="dxa"/>
            <w:tcBorders/>
            <w:vAlign w:val="center"/>
          </w:tcPr>
          <w:p>
            <w:pPr>
              <w:pStyle w:val="TableContents"/>
              <w:bidi w:val="0"/>
              <w:spacing w:before="0" w:after="283"/>
              <w:jc w:val="left"/>
              <w:rPr/>
            </w:pPr>
            <w:r>
              <w:rPr/>
              <w:t>Accounts receivable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receivable from customers relate to management fees, incentive fees, placement fees, performance fees, reimbursement of expenses from investment funds, and financial advisory services. The Company has not recorded write-offs or allowances for uncollectible accounts receivable for the periods presented in these unaudited condensed consolidated interim financial statements.</w:t>
      </w:r>
    </w:p>
    <w:p>
      <w:pPr>
        <w:pStyle w:val="TextBody"/>
        <w:bidi w:val="0"/>
        <w:spacing w:before="0" w:after="0"/>
        <w:ind w:left="0" w:right="0" w:hanging="0"/>
        <w:jc w:val="both"/>
        <w:rPr>
          <w:caps w:val="false"/>
          <w:smallCaps w:val="false"/>
        </w:rPr>
      </w:pPr>
      <w:r>
        <w:rPr>
          <w:caps w:val="false"/>
          <w:smallCaps w:val="false"/>
        </w:rPr>
        <w:t> </w:t>
      </w:r>
    </w:p>
    <w:tbl>
      <w:tblPr>
        <w:tblW w:w="4680" w:type="dxa"/>
        <w:jc w:val="center"/>
        <w:tblInd w:w="0" w:type="dxa"/>
        <w:tblLayout w:type="fixed"/>
        <w:tblCellMar>
          <w:top w:w="0" w:type="dxa"/>
          <w:left w:w="0" w:type="dxa"/>
          <w:bottom w:w="0" w:type="dxa"/>
          <w:right w:w="0" w:type="dxa"/>
        </w:tblCellMar>
      </w:tblPr>
      <w:tblGrid>
        <w:gridCol w:w="1775"/>
        <w:gridCol w:w="60"/>
        <w:gridCol w:w="1190"/>
        <w:gridCol w:w="1655"/>
      </w:tblGrid>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1775" w:type="dxa"/>
            <w:tcBorders/>
            <w:shd w:fill="D5EAEA" w:val="clear"/>
            <w:vAlign w:val="center"/>
          </w:tcPr>
          <w:p>
            <w:pPr>
              <w:pStyle w:val="TableContents"/>
              <w:bidi w:val="0"/>
              <w:spacing w:before="0" w:after="283"/>
              <w:jc w:val="left"/>
              <w:rPr>
                <w:sz w:val="20"/>
              </w:rPr>
            </w:pPr>
            <w:r>
              <w:rPr>
                <w:sz w:val="20"/>
              </w:rPr>
              <w:t>Current (a)</w:t>
            </w:r>
          </w:p>
        </w:tc>
        <w:tc>
          <w:tcPr>
            <w:tcW w:w="60" w:type="dxa"/>
            <w:tcBorders/>
            <w:shd w:fill="D5EAEA" w:val="clear"/>
            <w:vAlign w:val="center"/>
          </w:tcPr>
          <w:p>
            <w:pPr>
              <w:pStyle w:val="TableContents"/>
              <w:bidi w:val="0"/>
              <w:spacing w:before="0" w:after="283"/>
              <w:jc w:val="left"/>
              <w:rPr/>
            </w:pPr>
            <w:r>
              <w:rPr/>
              <w:t> </w:t>
            </w:r>
          </w:p>
        </w:tc>
        <w:tc>
          <w:tcPr>
            <w:tcW w:w="1190" w:type="dxa"/>
            <w:tcBorders/>
            <w:shd w:fill="D5EAEA" w:val="clear"/>
            <w:vAlign w:val="center"/>
          </w:tcPr>
          <w:p>
            <w:pPr>
              <w:pStyle w:val="TableContents"/>
              <w:bidi w:val="0"/>
              <w:spacing w:before="0" w:after="283"/>
              <w:jc w:val="right"/>
              <w:rPr>
                <w:sz w:val="20"/>
              </w:rPr>
            </w:pPr>
            <w:r>
              <w:rPr>
                <w:sz w:val="20"/>
              </w:rPr>
              <w:t>297,839</w:t>
            </w:r>
          </w:p>
        </w:tc>
        <w:tc>
          <w:tcPr>
            <w:tcW w:w="1655" w:type="dxa"/>
            <w:tcBorders/>
            <w:shd w:fill="D5EAEA" w:val="clear"/>
            <w:vAlign w:val="center"/>
          </w:tcPr>
          <w:p>
            <w:pPr>
              <w:pStyle w:val="TableContents"/>
              <w:bidi w:val="0"/>
              <w:spacing w:before="0" w:after="283"/>
              <w:jc w:val="right"/>
              <w:rPr>
                <w:sz w:val="20"/>
              </w:rPr>
            </w:pPr>
            <w:r>
              <w:rPr>
                <w:sz w:val="20"/>
              </w:rPr>
              <w:t>118,576</w:t>
            </w:r>
          </w:p>
        </w:tc>
      </w:tr>
      <w:tr>
        <w:trPr/>
        <w:tc>
          <w:tcPr>
            <w:tcW w:w="1775" w:type="dxa"/>
            <w:tcBorders/>
            <w:shd w:fill="FFFFFF" w:val="clear"/>
            <w:vAlign w:val="center"/>
          </w:tcPr>
          <w:p>
            <w:pPr>
              <w:pStyle w:val="TableContents"/>
              <w:bidi w:val="0"/>
              <w:spacing w:before="0" w:after="283"/>
              <w:jc w:val="left"/>
              <w:rPr>
                <w:sz w:val="20"/>
              </w:rPr>
            </w:pPr>
            <w:r>
              <w:rPr>
                <w:sz w:val="20"/>
              </w:rPr>
              <w:t xml:space="preserve">Non-current (b) (c) </w:t>
            </w:r>
          </w:p>
        </w:tc>
        <w:tc>
          <w:tcPr>
            <w:tcW w:w="60" w:type="dxa"/>
            <w:tcBorders/>
            <w:shd w:fill="FFFFFF" w:val="cle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18,819</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95,392</w:t>
            </w:r>
          </w:p>
        </w:tc>
      </w:tr>
      <w:tr>
        <w:trPr/>
        <w:tc>
          <w:tcPr>
            <w:tcW w:w="1775" w:type="dxa"/>
            <w:tcBorders/>
            <w:shd w:fill="D5EAEA" w:val="clear"/>
            <w:vAlign w:val="center"/>
          </w:tcPr>
          <w:p>
            <w:pPr>
              <w:pStyle w:val="TableContents"/>
              <w:bidi w:val="0"/>
              <w:spacing w:before="0" w:after="283"/>
              <w:jc w:val="left"/>
              <w:rPr>
                <w:b/>
                <w:sz w:val="20"/>
              </w:rPr>
            </w:pPr>
            <w:r>
              <w:rPr>
                <w:b/>
                <w:sz w:val="20"/>
              </w:rPr>
              <w:t xml:space="preserve">Accounts receivable </w:t>
            </w:r>
          </w:p>
        </w:tc>
        <w:tc>
          <w:tcPr>
            <w:tcW w:w="60" w:type="dxa"/>
            <w:tcBorders/>
            <w:shd w:fill="D5EAEA" w:val="clear"/>
            <w:vAlign w:val="center"/>
          </w:tcPr>
          <w:p>
            <w:pPr>
              <w:pStyle w:val="TableContents"/>
              <w:bidi w:val="0"/>
              <w:spacing w:before="0" w:after="283"/>
              <w:jc w:val="left"/>
              <w:rPr/>
            </w:pPr>
            <w:r>
              <w:rPr/>
              <w:t> </w:t>
            </w:r>
          </w:p>
        </w:tc>
        <w:tc>
          <w:tcPr>
            <w:tcW w:w="1190"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316,658</w:t>
            </w:r>
          </w:p>
        </w:tc>
        <w:tc>
          <w:tcPr>
            <w:tcW w:w="1655"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213,968</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Current accounts receivable for June 30, 2026, include US$148 million (December 31, 2025: US$43.3 million) for Tria due to increased energy trading.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Current accounts receivable includes US$76.8 million for PBPE Fund IV that relates to a postponed collection of management fees. The balance of US$76.8 million was reclassed from non-current to current receivables as of June 2026, and is expected to be received in June 2027, subject to the timing of the realization of underlying investment fund assets and the estimated cash needs of the investment funds. This receivable has been sold with recourse, see note 18.</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Non-current accounts receivable as of June 30, 2026, include the Lavoro asset-linked receivable of US$15.4 million (December 31, 2025: US$15.4 million). No interest is charged on the asset-linked receivable and the receivable was accounted for at amortized cost.</w:t>
            </w:r>
          </w:p>
        </w:tc>
      </w:tr>
    </w:tbl>
    <w:p>
      <w:pPr>
        <w:pStyle w:val="TextBody"/>
        <w:bidi w:val="0"/>
        <w:spacing w:before="0" w:after="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15"/>
        <w:gridCol w:w="1625"/>
      </w:tblGrid>
      <w:tr>
        <w:trPr/>
        <w:tc>
          <w:tcPr>
            <w:tcW w:w="215" w:type="dxa"/>
            <w:tcBorders/>
            <w:vAlign w:val="center"/>
          </w:tcPr>
          <w:p>
            <w:pPr>
              <w:pStyle w:val="TableContents"/>
              <w:bidi w:val="0"/>
              <w:spacing w:before="0" w:after="283"/>
              <w:jc w:val="left"/>
              <w:rPr/>
            </w:pPr>
            <w:r>
              <w:rPr/>
              <w:t>9.</w:t>
            </w:r>
          </w:p>
        </w:tc>
        <w:tc>
          <w:tcPr>
            <w:tcW w:w="1625" w:type="dxa"/>
            <w:tcBorders/>
            <w:vAlign w:val="center"/>
          </w:tcPr>
          <w:p>
            <w:pPr>
              <w:pStyle w:val="TableContents"/>
              <w:bidi w:val="0"/>
              <w:spacing w:before="0" w:after="283"/>
              <w:jc w:val="left"/>
              <w:rPr/>
            </w:pPr>
            <w:r>
              <w:rPr/>
              <w:t>Project advances</w:t>
            </w:r>
          </w:p>
        </w:tc>
      </w:tr>
    </w:tbl>
    <w:p>
      <w:pPr>
        <w:pStyle w:val="TextBody"/>
        <w:bidi w:val="0"/>
        <w:spacing w:before="0" w:after="0"/>
        <w:jc w:val="left"/>
        <w:rPr>
          <w:caps w:val="false"/>
          <w:smallCaps w:val="false"/>
        </w:rPr>
      </w:pPr>
      <w:r>
        <w:rPr>
          <w:caps w:val="false"/>
          <w:smallCaps w:val="false"/>
        </w:rPr>
        <w:t> </w:t>
      </w:r>
    </w:p>
    <w:tbl>
      <w:tblPr>
        <w:tblW w:w="4320" w:type="dxa"/>
        <w:jc w:val="center"/>
        <w:tblInd w:w="0" w:type="dxa"/>
        <w:tblLayout w:type="fixed"/>
        <w:tblCellMar>
          <w:top w:w="0" w:type="dxa"/>
          <w:left w:w="0" w:type="dxa"/>
          <w:bottom w:w="0" w:type="dxa"/>
          <w:right w:w="0" w:type="dxa"/>
        </w:tblCellMar>
      </w:tblPr>
      <w:tblGrid>
        <w:gridCol w:w="1475"/>
        <w:gridCol w:w="1190"/>
        <w:gridCol w:w="1655"/>
      </w:tblGrid>
      <w:tr>
        <w:trPr/>
        <w:tc>
          <w:tcPr>
            <w:tcW w:w="147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1475" w:type="dxa"/>
            <w:tcBorders/>
            <w:shd w:fill="D5EAEA" w:val="clear"/>
            <w:vAlign w:val="center"/>
          </w:tcPr>
          <w:p>
            <w:pPr>
              <w:pStyle w:val="TableContents"/>
              <w:bidi w:val="0"/>
              <w:spacing w:before="0" w:after="283"/>
              <w:jc w:val="left"/>
              <w:rPr>
                <w:sz w:val="20"/>
              </w:rPr>
            </w:pPr>
            <w:r>
              <w:rPr>
                <w:sz w:val="20"/>
              </w:rPr>
              <w:t>Current</w:t>
            </w:r>
          </w:p>
        </w:tc>
        <w:tc>
          <w:tcPr>
            <w:tcW w:w="119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18,044</w:t>
            </w:r>
          </w:p>
        </w:tc>
        <w:tc>
          <w:tcPr>
            <w:tcW w:w="165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12,270</w:t>
            </w:r>
          </w:p>
        </w:tc>
      </w:tr>
      <w:tr>
        <w:trPr/>
        <w:tc>
          <w:tcPr>
            <w:tcW w:w="1475" w:type="dxa"/>
            <w:tcBorders/>
            <w:shd w:fill="FFFFFF" w:val="clear"/>
            <w:vAlign w:val="center"/>
          </w:tcPr>
          <w:p>
            <w:pPr>
              <w:pStyle w:val="TableContents"/>
              <w:bidi w:val="0"/>
              <w:spacing w:before="0" w:after="283"/>
              <w:jc w:val="left"/>
              <w:rPr>
                <w:b/>
                <w:sz w:val="20"/>
              </w:rPr>
            </w:pPr>
            <w:r>
              <w:rPr>
                <w:b/>
                <w:sz w:val="20"/>
              </w:rPr>
              <w:t>Project advances</w:t>
            </w:r>
          </w:p>
        </w:tc>
        <w:tc>
          <w:tcPr>
            <w:tcW w:w="11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18,044</w:t>
            </w:r>
          </w:p>
        </w:tc>
        <w:tc>
          <w:tcPr>
            <w:tcW w:w="16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12,270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advances are comprised of recoverable advances made by the Company for the development process of new investment funds and the capture of non-capitalized investment funds. In both cases, the amounts are subject to reimbursement as provided for in the respective agreements between the Company and investment funds.</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335"/>
        <w:gridCol w:w="1175"/>
      </w:tblGrid>
      <w:tr>
        <w:trPr/>
        <w:tc>
          <w:tcPr>
            <w:tcW w:w="335" w:type="dxa"/>
            <w:tcBorders/>
            <w:vAlign w:val="center"/>
          </w:tcPr>
          <w:p>
            <w:pPr>
              <w:pStyle w:val="TableContents"/>
              <w:bidi w:val="0"/>
              <w:spacing w:before="0" w:after="283"/>
              <w:jc w:val="left"/>
              <w:rPr/>
            </w:pPr>
            <w:r>
              <w:rPr/>
              <w:t>10.</w:t>
            </w:r>
          </w:p>
        </w:tc>
        <w:tc>
          <w:tcPr>
            <w:tcW w:w="1175" w:type="dxa"/>
            <w:tcBorders/>
            <w:vAlign w:val="center"/>
          </w:tcPr>
          <w:p>
            <w:pPr>
              <w:pStyle w:val="TableContents"/>
              <w:bidi w:val="0"/>
              <w:spacing w:before="0" w:after="283"/>
              <w:jc w:val="left"/>
              <w:rPr/>
            </w:pPr>
            <w:r>
              <w:rPr/>
              <w:t>Other assets</w:t>
            </w:r>
          </w:p>
        </w:tc>
      </w:tr>
    </w:tbl>
    <w:p>
      <w:pPr>
        <w:pStyle w:val="TextBody"/>
        <w:bidi w:val="0"/>
        <w:spacing w:before="0" w:after="0"/>
        <w:jc w:val="left"/>
        <w:rPr>
          <w:caps w:val="false"/>
          <w:smallCaps w:val="false"/>
        </w:rPr>
      </w:pPr>
      <w:r>
        <w:rPr>
          <w:caps w:val="false"/>
          <w:smallCaps w:val="false"/>
        </w:rPr>
        <w:t> </w:t>
      </w:r>
    </w:p>
    <w:tbl>
      <w:tblPr>
        <w:tblW w:w="6030" w:type="dxa"/>
        <w:jc w:val="center"/>
        <w:tblInd w:w="0" w:type="dxa"/>
        <w:tblLayout w:type="fixed"/>
        <w:tblCellMar>
          <w:top w:w="0" w:type="dxa"/>
          <w:left w:w="0" w:type="dxa"/>
          <w:bottom w:w="0" w:type="dxa"/>
          <w:right w:w="0" w:type="dxa"/>
        </w:tblCellMar>
      </w:tblPr>
      <w:tblGrid>
        <w:gridCol w:w="3185"/>
        <w:gridCol w:w="1190"/>
        <w:gridCol w:w="1655"/>
      </w:tblGrid>
      <w:tr>
        <w:trPr/>
        <w:tc>
          <w:tcPr>
            <w:tcW w:w="318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3185" w:type="dxa"/>
            <w:tcBorders/>
            <w:shd w:fill="D5EAEA" w:val="clear"/>
            <w:vAlign w:val="center"/>
          </w:tcPr>
          <w:p>
            <w:pPr>
              <w:pStyle w:val="TableContents"/>
              <w:bidi w:val="0"/>
              <w:spacing w:before="0" w:after="283"/>
              <w:jc w:val="left"/>
              <w:rPr>
                <w:sz w:val="20"/>
              </w:rPr>
            </w:pPr>
            <w:r>
              <w:rPr>
                <w:sz w:val="20"/>
              </w:rPr>
              <w:t>Advances to suppliers</w:t>
            </w:r>
          </w:p>
        </w:tc>
        <w:tc>
          <w:tcPr>
            <w:tcW w:w="1190" w:type="dxa"/>
            <w:tcBorders/>
            <w:shd w:fill="D5EAEA" w:val="clear"/>
            <w:vAlign w:val="center"/>
          </w:tcPr>
          <w:p>
            <w:pPr>
              <w:pStyle w:val="TableContents"/>
              <w:bidi w:val="0"/>
              <w:spacing w:before="0" w:after="283"/>
              <w:jc w:val="right"/>
              <w:rPr>
                <w:sz w:val="20"/>
              </w:rPr>
            </w:pPr>
            <w:r>
              <w:rPr>
                <w:sz w:val="20"/>
              </w:rPr>
              <w:t>10,023</w:t>
            </w:r>
          </w:p>
        </w:tc>
        <w:tc>
          <w:tcPr>
            <w:tcW w:w="1655" w:type="dxa"/>
            <w:tcBorders/>
            <w:shd w:fill="D5EAEA" w:val="clear"/>
            <w:vAlign w:val="center"/>
          </w:tcPr>
          <w:p>
            <w:pPr>
              <w:pStyle w:val="TableContents"/>
              <w:bidi w:val="0"/>
              <w:spacing w:before="0" w:after="283"/>
              <w:jc w:val="right"/>
              <w:rPr>
                <w:sz w:val="20"/>
              </w:rPr>
            </w:pPr>
            <w:r>
              <w:rPr>
                <w:sz w:val="20"/>
              </w:rPr>
              <w:t>5,981</w:t>
            </w:r>
          </w:p>
        </w:tc>
      </w:tr>
      <w:tr>
        <w:trPr/>
        <w:tc>
          <w:tcPr>
            <w:tcW w:w="3185" w:type="dxa"/>
            <w:tcBorders/>
            <w:shd w:fill="FFFFFF" w:val="clear"/>
            <w:vAlign w:val="center"/>
          </w:tcPr>
          <w:p>
            <w:pPr>
              <w:pStyle w:val="TableContents"/>
              <w:bidi w:val="0"/>
              <w:spacing w:before="0" w:after="283"/>
              <w:jc w:val="left"/>
              <w:rPr>
                <w:sz w:val="20"/>
              </w:rPr>
            </w:pPr>
            <w:r>
              <w:rPr>
                <w:sz w:val="20"/>
              </w:rPr>
              <w:t>Prepaid expenses (b)</w:t>
            </w:r>
          </w:p>
        </w:tc>
        <w:tc>
          <w:tcPr>
            <w:tcW w:w="1190" w:type="dxa"/>
            <w:tcBorders/>
            <w:shd w:fill="FFFFFF" w:val="clear"/>
            <w:vAlign w:val="center"/>
          </w:tcPr>
          <w:p>
            <w:pPr>
              <w:pStyle w:val="TableContents"/>
              <w:bidi w:val="0"/>
              <w:spacing w:before="0" w:after="283"/>
              <w:jc w:val="right"/>
              <w:rPr>
                <w:sz w:val="20"/>
              </w:rPr>
            </w:pPr>
            <w:r>
              <w:rPr>
                <w:sz w:val="20"/>
              </w:rPr>
              <w:t>8,387</w:t>
            </w:r>
          </w:p>
        </w:tc>
        <w:tc>
          <w:tcPr>
            <w:tcW w:w="1655" w:type="dxa"/>
            <w:tcBorders/>
            <w:shd w:fill="FFFFFF" w:val="clear"/>
            <w:vAlign w:val="center"/>
          </w:tcPr>
          <w:p>
            <w:pPr>
              <w:pStyle w:val="TableContents"/>
              <w:bidi w:val="0"/>
              <w:spacing w:before="0" w:after="283"/>
              <w:jc w:val="right"/>
              <w:rPr>
                <w:sz w:val="20"/>
              </w:rPr>
            </w:pPr>
            <w:r>
              <w:rPr>
                <w:sz w:val="20"/>
              </w:rPr>
              <w:t>3,870</w:t>
            </w:r>
          </w:p>
        </w:tc>
      </w:tr>
      <w:tr>
        <w:trPr/>
        <w:tc>
          <w:tcPr>
            <w:tcW w:w="3185" w:type="dxa"/>
            <w:tcBorders/>
            <w:shd w:fill="D5EAEA" w:val="clear"/>
            <w:vAlign w:val="center"/>
          </w:tcPr>
          <w:p>
            <w:pPr>
              <w:pStyle w:val="TableContents"/>
              <w:bidi w:val="0"/>
              <w:spacing w:before="0" w:after="283"/>
              <w:jc w:val="left"/>
              <w:rPr>
                <w:sz w:val="20"/>
              </w:rPr>
            </w:pPr>
            <w:r>
              <w:rPr>
                <w:sz w:val="20"/>
              </w:rPr>
              <w:t xml:space="preserve">Other current assets </w:t>
            </w:r>
          </w:p>
        </w:tc>
        <w:tc>
          <w:tcPr>
            <w:tcW w:w="1190" w:type="dxa"/>
            <w:tcBorders/>
            <w:shd w:fill="D5EAEA" w:val="clear"/>
            <w:vAlign w:val="center"/>
          </w:tcPr>
          <w:p>
            <w:pPr>
              <w:pStyle w:val="TableContents"/>
              <w:bidi w:val="0"/>
              <w:spacing w:before="0" w:after="283"/>
              <w:jc w:val="right"/>
              <w:rPr>
                <w:sz w:val="20"/>
              </w:rPr>
            </w:pPr>
            <w:r>
              <w:rPr>
                <w:sz w:val="20"/>
              </w:rPr>
              <w:t>2,208</w:t>
            </w:r>
          </w:p>
        </w:tc>
        <w:tc>
          <w:tcPr>
            <w:tcW w:w="1655" w:type="dxa"/>
            <w:tcBorders/>
            <w:shd w:fill="D5EAEA" w:val="clear"/>
            <w:vAlign w:val="center"/>
          </w:tcPr>
          <w:p>
            <w:pPr>
              <w:pStyle w:val="TableContents"/>
              <w:bidi w:val="0"/>
              <w:spacing w:before="0" w:after="283"/>
              <w:jc w:val="right"/>
              <w:rPr>
                <w:sz w:val="20"/>
              </w:rPr>
            </w:pPr>
            <w:r>
              <w:rPr>
                <w:sz w:val="20"/>
              </w:rPr>
              <w:t>890</w:t>
            </w:r>
          </w:p>
        </w:tc>
      </w:tr>
      <w:tr>
        <w:trPr/>
        <w:tc>
          <w:tcPr>
            <w:tcW w:w="3185" w:type="dxa"/>
            <w:tcBorders/>
            <w:shd w:fill="FFFFFF" w:val="clear"/>
            <w:vAlign w:val="center"/>
          </w:tcPr>
          <w:p>
            <w:pPr>
              <w:pStyle w:val="TableContents"/>
              <w:bidi w:val="0"/>
              <w:spacing w:before="0" w:after="283"/>
              <w:jc w:val="left"/>
              <w:rPr>
                <w:sz w:val="20"/>
              </w:rPr>
            </w:pPr>
            <w:r>
              <w:rPr>
                <w:sz w:val="20"/>
              </w:rPr>
              <w:t>Unamortized fund structuring costs (c)</w:t>
            </w:r>
          </w:p>
        </w:tc>
        <w:tc>
          <w:tcPr>
            <w:tcW w:w="1190" w:type="dxa"/>
            <w:tcBorders/>
            <w:shd w:fill="FFFFFF" w:val="clear"/>
            <w:vAlign w:val="center"/>
          </w:tcPr>
          <w:p>
            <w:pPr>
              <w:pStyle w:val="TableContents"/>
              <w:bidi w:val="0"/>
              <w:spacing w:before="0" w:after="283"/>
              <w:jc w:val="right"/>
              <w:rPr>
                <w:sz w:val="20"/>
              </w:rPr>
            </w:pPr>
            <w:r>
              <w:rPr>
                <w:sz w:val="20"/>
              </w:rPr>
              <w:t>939</w:t>
            </w:r>
          </w:p>
        </w:tc>
        <w:tc>
          <w:tcPr>
            <w:tcW w:w="1655" w:type="dxa"/>
            <w:tcBorders/>
            <w:shd w:fill="FFFFFF" w:val="clear"/>
            <w:vAlign w:val="center"/>
          </w:tcPr>
          <w:p>
            <w:pPr>
              <w:pStyle w:val="TableContents"/>
              <w:bidi w:val="0"/>
              <w:spacing w:before="0" w:after="283"/>
              <w:jc w:val="right"/>
              <w:rPr>
                <w:sz w:val="20"/>
              </w:rPr>
            </w:pPr>
            <w:r>
              <w:rPr>
                <w:sz w:val="20"/>
              </w:rPr>
              <w:t>774</w:t>
            </w:r>
          </w:p>
        </w:tc>
      </w:tr>
      <w:tr>
        <w:trPr/>
        <w:tc>
          <w:tcPr>
            <w:tcW w:w="3185" w:type="dxa"/>
            <w:tcBorders/>
            <w:shd w:fill="D5EAEA" w:val="clear"/>
            <w:vAlign w:val="center"/>
          </w:tcPr>
          <w:p>
            <w:pPr>
              <w:pStyle w:val="TableContents"/>
              <w:bidi w:val="0"/>
              <w:spacing w:before="0" w:after="283"/>
              <w:jc w:val="left"/>
              <w:rPr>
                <w:sz w:val="20"/>
              </w:rPr>
            </w:pPr>
            <w:r>
              <w:rPr>
                <w:sz w:val="20"/>
              </w:rPr>
              <w:t>Advances to employees</w:t>
            </w:r>
          </w:p>
        </w:tc>
        <w:tc>
          <w:tcPr>
            <w:tcW w:w="1190" w:type="dxa"/>
            <w:tcBorders/>
            <w:shd w:fill="D5EAEA" w:val="clear"/>
            <w:vAlign w:val="center"/>
          </w:tcPr>
          <w:p>
            <w:pPr>
              <w:pStyle w:val="TableContents"/>
              <w:bidi w:val="0"/>
              <w:spacing w:before="0" w:after="283"/>
              <w:jc w:val="right"/>
              <w:rPr>
                <w:sz w:val="20"/>
              </w:rPr>
            </w:pPr>
            <w:r>
              <w:rPr>
                <w:sz w:val="20"/>
              </w:rPr>
              <w:t>-</w:t>
            </w:r>
          </w:p>
        </w:tc>
        <w:tc>
          <w:tcPr>
            <w:tcW w:w="1655" w:type="dxa"/>
            <w:tcBorders/>
            <w:shd w:fill="D5EAEA" w:val="clear"/>
            <w:vAlign w:val="center"/>
          </w:tcPr>
          <w:p>
            <w:pPr>
              <w:pStyle w:val="TableContents"/>
              <w:bidi w:val="0"/>
              <w:spacing w:before="0" w:after="283"/>
              <w:jc w:val="right"/>
              <w:rPr>
                <w:sz w:val="20"/>
              </w:rPr>
            </w:pPr>
            <w:r>
              <w:rPr>
                <w:sz w:val="20"/>
              </w:rPr>
              <w:t>2,260</w:t>
            </w:r>
          </w:p>
        </w:tc>
      </w:tr>
      <w:tr>
        <w:trPr/>
        <w:tc>
          <w:tcPr>
            <w:tcW w:w="3185" w:type="dxa"/>
            <w:tcBorders/>
            <w:shd w:fill="FFFFFF" w:val="clear"/>
            <w:vAlign w:val="center"/>
          </w:tcPr>
          <w:p>
            <w:pPr>
              <w:pStyle w:val="TableContents"/>
              <w:bidi w:val="0"/>
              <w:spacing w:before="0" w:after="283"/>
              <w:jc w:val="left"/>
              <w:rPr>
                <w:sz w:val="20"/>
              </w:rPr>
            </w:pPr>
            <w:r>
              <w:rPr>
                <w:sz w:val="20"/>
              </w:rPr>
              <w:t>Investment funds receivable (a)</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2,283</w:t>
            </w:r>
          </w:p>
        </w:tc>
      </w:tr>
      <w:tr>
        <w:trPr/>
        <w:tc>
          <w:tcPr>
            <w:tcW w:w="3185" w:type="dxa"/>
            <w:tcBorders/>
            <w:shd w:fill="D5EAEA" w:val="clear"/>
            <w:vAlign w:val="center"/>
          </w:tcPr>
          <w:p>
            <w:pPr>
              <w:pStyle w:val="TableContents"/>
              <w:bidi w:val="0"/>
              <w:spacing w:before="0" w:after="283"/>
              <w:jc w:val="left"/>
              <w:rPr>
                <w:b/>
                <w:sz w:val="20"/>
              </w:rPr>
            </w:pPr>
            <w:r>
              <w:rPr>
                <w:b/>
                <w:sz w:val="20"/>
              </w:rPr>
              <w:t>Other current assets</w:t>
            </w:r>
          </w:p>
        </w:tc>
        <w:tc>
          <w:tcPr>
            <w:tcW w:w="1190"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21,557</w:t>
            </w:r>
          </w:p>
        </w:tc>
        <w:tc>
          <w:tcPr>
            <w:tcW w:w="165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16,058</w:t>
            </w:r>
          </w:p>
        </w:tc>
      </w:tr>
      <w:tr>
        <w:trPr/>
        <w:tc>
          <w:tcPr>
            <w:tcW w:w="318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1655" w:type="dxa"/>
            <w:tcBorders/>
            <w:shd w:fill="FFFFFF" w:val="clear"/>
            <w:vAlign w:val="center"/>
          </w:tcPr>
          <w:p>
            <w:pPr>
              <w:pStyle w:val="TableContents"/>
              <w:bidi w:val="0"/>
              <w:spacing w:before="0" w:after="283"/>
              <w:jc w:val="right"/>
              <w:rPr/>
            </w:pPr>
            <w:r>
              <w:rPr/>
              <w:t> </w:t>
            </w:r>
          </w:p>
        </w:tc>
      </w:tr>
      <w:tr>
        <w:trPr/>
        <w:tc>
          <w:tcPr>
            <w:tcW w:w="3185" w:type="dxa"/>
            <w:tcBorders/>
            <w:shd w:fill="D5EAEA" w:val="clear"/>
            <w:vAlign w:val="center"/>
          </w:tcPr>
          <w:p>
            <w:pPr>
              <w:pStyle w:val="TableContents"/>
              <w:bidi w:val="0"/>
              <w:spacing w:before="0" w:after="283"/>
              <w:jc w:val="left"/>
              <w:rPr>
                <w:sz w:val="20"/>
              </w:rPr>
            </w:pPr>
            <w:r>
              <w:rPr>
                <w:sz w:val="20"/>
              </w:rPr>
              <w:t xml:space="preserve">Unamortized fund structuring costs (c) </w:t>
            </w:r>
          </w:p>
        </w:tc>
        <w:tc>
          <w:tcPr>
            <w:tcW w:w="1190" w:type="dxa"/>
            <w:tcBorders/>
            <w:shd w:fill="D5EAEA" w:val="clear"/>
            <w:vAlign w:val="center"/>
          </w:tcPr>
          <w:p>
            <w:pPr>
              <w:pStyle w:val="TableContents"/>
              <w:bidi w:val="0"/>
              <w:spacing w:before="0" w:after="283"/>
              <w:jc w:val="right"/>
              <w:rPr>
                <w:sz w:val="20"/>
              </w:rPr>
            </w:pPr>
            <w:r>
              <w:rPr>
                <w:sz w:val="20"/>
              </w:rPr>
              <w:t>7,510</w:t>
            </w:r>
          </w:p>
        </w:tc>
        <w:tc>
          <w:tcPr>
            <w:tcW w:w="1655" w:type="dxa"/>
            <w:tcBorders/>
            <w:shd w:fill="D5EAEA" w:val="clear"/>
            <w:vAlign w:val="center"/>
          </w:tcPr>
          <w:p>
            <w:pPr>
              <w:pStyle w:val="TableContents"/>
              <w:bidi w:val="0"/>
              <w:spacing w:before="0" w:after="283"/>
              <w:jc w:val="right"/>
              <w:rPr>
                <w:sz w:val="20"/>
              </w:rPr>
            </w:pPr>
            <w:r>
              <w:rPr>
                <w:sz w:val="20"/>
              </w:rPr>
              <w:t>6,643</w:t>
            </w:r>
          </w:p>
        </w:tc>
      </w:tr>
      <w:tr>
        <w:trPr/>
        <w:tc>
          <w:tcPr>
            <w:tcW w:w="3185" w:type="dxa"/>
            <w:tcBorders/>
            <w:shd w:fill="FFFFFF" w:val="clear"/>
            <w:vAlign w:val="center"/>
          </w:tcPr>
          <w:p>
            <w:pPr>
              <w:pStyle w:val="TableContents"/>
              <w:bidi w:val="0"/>
              <w:spacing w:before="0" w:after="283"/>
              <w:jc w:val="left"/>
              <w:rPr>
                <w:sz w:val="20"/>
              </w:rPr>
            </w:pPr>
            <w:r>
              <w:rPr>
                <w:sz w:val="20"/>
              </w:rPr>
              <w:t>Deposits on lease agreements (d)</w:t>
            </w:r>
          </w:p>
        </w:tc>
        <w:tc>
          <w:tcPr>
            <w:tcW w:w="1190" w:type="dxa"/>
            <w:tcBorders/>
            <w:shd w:fill="FFFFFF" w:val="clear"/>
            <w:vAlign w:val="center"/>
          </w:tcPr>
          <w:p>
            <w:pPr>
              <w:pStyle w:val="TableContents"/>
              <w:bidi w:val="0"/>
              <w:spacing w:before="0" w:after="283"/>
              <w:jc w:val="right"/>
              <w:rPr>
                <w:sz w:val="20"/>
              </w:rPr>
            </w:pPr>
            <w:r>
              <w:rPr>
                <w:sz w:val="20"/>
              </w:rPr>
              <w:t>2,732</w:t>
            </w:r>
          </w:p>
        </w:tc>
        <w:tc>
          <w:tcPr>
            <w:tcW w:w="1655" w:type="dxa"/>
            <w:tcBorders/>
            <w:shd w:fill="FFFFFF" w:val="clear"/>
            <w:vAlign w:val="center"/>
          </w:tcPr>
          <w:p>
            <w:pPr>
              <w:pStyle w:val="TableContents"/>
              <w:bidi w:val="0"/>
              <w:spacing w:before="0" w:after="283"/>
              <w:jc w:val="right"/>
              <w:rPr>
                <w:sz w:val="20"/>
              </w:rPr>
            </w:pPr>
            <w:r>
              <w:rPr>
                <w:sz w:val="20"/>
              </w:rPr>
              <w:t>2,558</w:t>
            </w:r>
          </w:p>
        </w:tc>
      </w:tr>
      <w:tr>
        <w:trPr/>
        <w:tc>
          <w:tcPr>
            <w:tcW w:w="3185" w:type="dxa"/>
            <w:tcBorders/>
            <w:shd w:fill="D5EAEA" w:val="clear"/>
            <w:vAlign w:val="center"/>
          </w:tcPr>
          <w:p>
            <w:pPr>
              <w:pStyle w:val="TableContents"/>
              <w:bidi w:val="0"/>
              <w:spacing w:before="0" w:after="283"/>
              <w:jc w:val="left"/>
              <w:rPr>
                <w:sz w:val="20"/>
              </w:rPr>
            </w:pPr>
            <w:r>
              <w:rPr>
                <w:sz w:val="20"/>
              </w:rPr>
              <w:t>Other non-current assets</w:t>
            </w:r>
          </w:p>
        </w:tc>
        <w:tc>
          <w:tcPr>
            <w:tcW w:w="1190" w:type="dxa"/>
            <w:tcBorders/>
            <w:shd w:fill="D5EAEA" w:val="clear"/>
            <w:vAlign w:val="center"/>
          </w:tcPr>
          <w:p>
            <w:pPr>
              <w:pStyle w:val="TableContents"/>
              <w:bidi w:val="0"/>
              <w:spacing w:before="0" w:after="283"/>
              <w:jc w:val="right"/>
              <w:rPr>
                <w:sz w:val="20"/>
              </w:rPr>
            </w:pPr>
            <w:r>
              <w:rPr>
                <w:sz w:val="20"/>
              </w:rPr>
              <w:t>410</w:t>
            </w:r>
          </w:p>
        </w:tc>
        <w:tc>
          <w:tcPr>
            <w:tcW w:w="1655" w:type="dxa"/>
            <w:tcBorders/>
            <w:shd w:fill="D5EAEA" w:val="clear"/>
            <w:vAlign w:val="center"/>
          </w:tcPr>
          <w:p>
            <w:pPr>
              <w:pStyle w:val="TableContents"/>
              <w:bidi w:val="0"/>
              <w:spacing w:before="0" w:after="283"/>
              <w:jc w:val="right"/>
              <w:rPr>
                <w:sz w:val="20"/>
              </w:rPr>
            </w:pPr>
            <w:r>
              <w:rPr>
                <w:sz w:val="20"/>
              </w:rPr>
              <w:t xml:space="preserve">695 </w:t>
            </w:r>
          </w:p>
        </w:tc>
      </w:tr>
      <w:tr>
        <w:trPr/>
        <w:tc>
          <w:tcPr>
            <w:tcW w:w="3185" w:type="dxa"/>
            <w:tcBorders/>
            <w:shd w:fill="FFFFFF" w:val="clear"/>
            <w:vAlign w:val="center"/>
          </w:tcPr>
          <w:p>
            <w:pPr>
              <w:pStyle w:val="TableContents"/>
              <w:bidi w:val="0"/>
              <w:spacing w:before="0" w:after="283"/>
              <w:jc w:val="left"/>
              <w:rPr>
                <w:sz w:val="20"/>
              </w:rPr>
            </w:pPr>
            <w:r>
              <w:rPr>
                <w:sz w:val="20"/>
              </w:rPr>
              <w:t>Prepaid expenses (b)</w:t>
            </w:r>
          </w:p>
        </w:tc>
        <w:tc>
          <w:tcPr>
            <w:tcW w:w="1190" w:type="dxa"/>
            <w:tcBorders/>
            <w:shd w:fill="FFFFFF" w:val="clear"/>
            <w:vAlign w:val="center"/>
          </w:tcPr>
          <w:p>
            <w:pPr>
              <w:pStyle w:val="TableContents"/>
              <w:bidi w:val="0"/>
              <w:spacing w:before="0" w:after="283"/>
              <w:jc w:val="right"/>
              <w:rPr>
                <w:sz w:val="20"/>
              </w:rPr>
            </w:pPr>
            <w:r>
              <w:rPr>
                <w:sz w:val="20"/>
              </w:rPr>
              <w:t>144</w:t>
            </w:r>
          </w:p>
        </w:tc>
        <w:tc>
          <w:tcPr>
            <w:tcW w:w="1655" w:type="dxa"/>
            <w:tcBorders/>
            <w:shd w:fill="FFFFFF" w:val="clear"/>
            <w:vAlign w:val="center"/>
          </w:tcPr>
          <w:p>
            <w:pPr>
              <w:pStyle w:val="TableContents"/>
              <w:bidi w:val="0"/>
              <w:spacing w:before="0" w:after="283"/>
              <w:jc w:val="right"/>
              <w:rPr>
                <w:sz w:val="20"/>
              </w:rPr>
            </w:pPr>
            <w:r>
              <w:rPr>
                <w:sz w:val="20"/>
              </w:rPr>
              <w:t>136</w:t>
            </w:r>
          </w:p>
        </w:tc>
      </w:tr>
      <w:tr>
        <w:trPr/>
        <w:tc>
          <w:tcPr>
            <w:tcW w:w="3185" w:type="dxa"/>
            <w:tcBorders/>
            <w:shd w:fill="D5EAEA" w:val="clear"/>
            <w:vAlign w:val="center"/>
          </w:tcPr>
          <w:p>
            <w:pPr>
              <w:pStyle w:val="TableContents"/>
              <w:bidi w:val="0"/>
              <w:spacing w:before="0" w:after="283"/>
              <w:jc w:val="left"/>
              <w:rPr>
                <w:sz w:val="20"/>
              </w:rPr>
            </w:pPr>
            <w:r>
              <w:rPr>
                <w:sz w:val="20"/>
              </w:rPr>
              <w:t>Investment in associate</w:t>
            </w:r>
          </w:p>
        </w:tc>
        <w:tc>
          <w:tcPr>
            <w:tcW w:w="119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165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36</w:t>
            </w:r>
          </w:p>
        </w:tc>
      </w:tr>
      <w:tr>
        <w:trPr/>
        <w:tc>
          <w:tcPr>
            <w:tcW w:w="3185" w:type="dxa"/>
            <w:tcBorders/>
            <w:shd w:fill="FFFFFF" w:val="clear"/>
            <w:vAlign w:val="center"/>
          </w:tcPr>
          <w:p>
            <w:pPr>
              <w:pStyle w:val="TableContents"/>
              <w:bidi w:val="0"/>
              <w:spacing w:before="0" w:after="283"/>
              <w:jc w:val="left"/>
              <w:rPr>
                <w:b/>
                <w:sz w:val="20"/>
              </w:rPr>
            </w:pPr>
            <w:r>
              <w:rPr>
                <w:b/>
                <w:sz w:val="20"/>
              </w:rPr>
              <w:t>Other non-current assets</w:t>
            </w:r>
          </w:p>
        </w:tc>
        <w:tc>
          <w:tcPr>
            <w:tcW w:w="1190"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10,796</w:t>
            </w:r>
          </w:p>
        </w:tc>
        <w:tc>
          <w:tcPr>
            <w:tcW w:w="1655"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10,068</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shd w:fill="FFFFFF" w:val="clear"/>
              </w:rPr>
            </w:pPr>
            <w:r>
              <w:rPr>
                <w:shd w:fill="FFFFFF" w:val="clear"/>
              </w:rPr>
              <w:t xml:space="preserve">The investment funds receivable is comprised of unsettled trades on the Company's proprietary trading portfolio.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Prepaid expenses are comprised of IT related services and insurance. These costs will be recognized as an expense in the period the services are received from suppliers.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(c)</w:t>
            </w:r>
          </w:p>
        </w:tc>
        <w:tc>
          <w:tcPr>
            <w:tcW w:w="9914" w:type="dxa"/>
            <w:tcBorders/>
            <w:vAlign w:val="center"/>
          </w:tcPr>
          <w:p>
            <w:pPr>
              <w:pStyle w:val="TableContents"/>
              <w:bidi w:val="0"/>
              <w:spacing w:before="0" w:after="283"/>
              <w:jc w:val="both"/>
              <w:rPr/>
            </w:pPr>
            <w:r>
              <w:rPr/>
              <w:t>Unamortized fund structuring costs represent the cost incurred in the set-up of funds that are amortized over the life of the respective funds.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(d)</w:t>
            </w:r>
          </w:p>
        </w:tc>
        <w:tc>
          <w:tcPr>
            <w:tcW w:w="9899" w:type="dxa"/>
            <w:tcBorders/>
            <w:vAlign w:val="center"/>
          </w:tcPr>
          <w:p>
            <w:pPr>
              <w:pStyle w:val="TableContents"/>
              <w:bidi w:val="0"/>
              <w:spacing w:before="0" w:after="283"/>
              <w:jc w:val="both"/>
              <w:rPr/>
            </w:pPr>
            <w:r>
              <w:rPr/>
              <w:t>Deposits on lease agreements are subject to reimbursement at the end of the lease contract period. No interest is accrued on these deposits.</w:t>
            </w:r>
          </w:p>
        </w:tc>
      </w:tr>
    </w:tbl>
    <w:p>
      <w:pPr>
        <w:pStyle w:val="TextBody"/>
        <w:bidi w:val="0"/>
        <w:spacing w:before="0" w:after="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335"/>
        <w:gridCol w:w="1760"/>
      </w:tblGrid>
      <w:tr>
        <w:trPr/>
        <w:tc>
          <w:tcPr>
            <w:tcW w:w="335" w:type="dxa"/>
            <w:tcBorders/>
            <w:vAlign w:val="center"/>
          </w:tcPr>
          <w:p>
            <w:pPr>
              <w:pStyle w:val="TableContents"/>
              <w:bidi w:val="0"/>
              <w:spacing w:before="0" w:after="283"/>
              <w:jc w:val="left"/>
              <w:rPr/>
            </w:pPr>
            <w:r>
              <w:rPr/>
              <w:t>11.</w:t>
            </w:r>
          </w:p>
        </w:tc>
        <w:tc>
          <w:tcPr>
            <w:tcW w:w="1760" w:type="dxa"/>
            <w:tcBorders/>
            <w:vAlign w:val="center"/>
          </w:tcPr>
          <w:p>
            <w:pPr>
              <w:pStyle w:val="TableContents"/>
              <w:bidi w:val="0"/>
              <w:spacing w:before="0" w:after="283"/>
              <w:jc w:val="left"/>
              <w:rPr/>
            </w:pPr>
            <w:r>
              <w:rPr/>
              <w:t>Recoverable taxes</w:t>
            </w:r>
          </w:p>
        </w:tc>
      </w:tr>
    </w:tbl>
    <w:p>
      <w:pPr>
        <w:pStyle w:val="TextBody"/>
        <w:bidi w:val="0"/>
        <w:spacing w:before="0" w:after="0"/>
        <w:jc w:val="left"/>
        <w:rPr>
          <w:caps w:val="false"/>
          <w:smallCaps w:val="false"/>
        </w:rPr>
      </w:pPr>
      <w:r>
        <w:rPr>
          <w:caps w:val="false"/>
          <w:smallCaps w:val="false"/>
        </w:rPr>
        <w:t> </w:t>
      </w:r>
    </w:p>
    <w:tbl>
      <w:tblPr>
        <w:tblW w:w="4830" w:type="dxa"/>
        <w:jc w:val="center"/>
        <w:tblInd w:w="0" w:type="dxa"/>
        <w:tblLayout w:type="fixed"/>
        <w:tblCellMar>
          <w:top w:w="0" w:type="dxa"/>
          <w:left w:w="0" w:type="dxa"/>
          <w:bottom w:w="0" w:type="dxa"/>
          <w:right w:w="0" w:type="dxa"/>
        </w:tblCellMar>
      </w:tblPr>
      <w:tblGrid>
        <w:gridCol w:w="1985"/>
        <w:gridCol w:w="1190"/>
        <w:gridCol w:w="1655"/>
      </w:tblGrid>
      <w:tr>
        <w:trPr/>
        <w:tc>
          <w:tcPr>
            <w:tcW w:w="198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1985" w:type="dxa"/>
            <w:tcBorders/>
            <w:shd w:fill="D5EAEA" w:val="clear"/>
            <w:vAlign w:val="center"/>
          </w:tcPr>
          <w:p>
            <w:pPr>
              <w:pStyle w:val="TableContents"/>
              <w:bidi w:val="0"/>
              <w:spacing w:before="0" w:after="283"/>
              <w:jc w:val="left"/>
              <w:rPr>
                <w:sz w:val="20"/>
              </w:rPr>
            </w:pPr>
            <w:r>
              <w:rPr>
                <w:sz w:val="20"/>
              </w:rPr>
              <w:t>Income tax recoverable</w:t>
            </w:r>
          </w:p>
        </w:tc>
        <w:tc>
          <w:tcPr>
            <w:tcW w:w="1190" w:type="dxa"/>
            <w:tcBorders/>
            <w:shd w:fill="D5EAEA" w:val="clear"/>
            <w:vAlign w:val="center"/>
          </w:tcPr>
          <w:p>
            <w:pPr>
              <w:pStyle w:val="TableContents"/>
              <w:bidi w:val="0"/>
              <w:spacing w:before="0" w:after="283"/>
              <w:jc w:val="right"/>
              <w:rPr>
                <w:sz w:val="20"/>
              </w:rPr>
            </w:pPr>
            <w:r>
              <w:rPr>
                <w:sz w:val="20"/>
              </w:rPr>
              <w:t>1,028</w:t>
            </w:r>
          </w:p>
        </w:tc>
        <w:tc>
          <w:tcPr>
            <w:tcW w:w="1655" w:type="dxa"/>
            <w:tcBorders/>
            <w:shd w:fill="D5EAEA" w:val="clear"/>
            <w:vAlign w:val="center"/>
          </w:tcPr>
          <w:p>
            <w:pPr>
              <w:pStyle w:val="TableContents"/>
              <w:bidi w:val="0"/>
              <w:spacing w:before="0" w:after="283"/>
              <w:jc w:val="right"/>
              <w:rPr>
                <w:sz w:val="20"/>
              </w:rPr>
            </w:pPr>
            <w:r>
              <w:rPr>
                <w:sz w:val="20"/>
              </w:rPr>
              <w:t>7,439</w:t>
            </w:r>
          </w:p>
        </w:tc>
      </w:tr>
      <w:tr>
        <w:trPr/>
        <w:tc>
          <w:tcPr>
            <w:tcW w:w="1985" w:type="dxa"/>
            <w:tcBorders/>
            <w:shd w:fill="FFFFFF" w:val="clear"/>
            <w:vAlign w:val="center"/>
          </w:tcPr>
          <w:p>
            <w:pPr>
              <w:pStyle w:val="TableContents"/>
              <w:bidi w:val="0"/>
              <w:spacing w:before="0" w:after="283"/>
              <w:jc w:val="left"/>
              <w:rPr>
                <w:sz w:val="20"/>
              </w:rPr>
            </w:pPr>
            <w:r>
              <w:rPr>
                <w:sz w:val="20"/>
              </w:rPr>
              <w:t xml:space="preserve">Other recoverable taxes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2,455</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1,868 </w:t>
            </w:r>
          </w:p>
        </w:tc>
      </w:tr>
      <w:tr>
        <w:trPr/>
        <w:tc>
          <w:tcPr>
            <w:tcW w:w="1985" w:type="dxa"/>
            <w:tcBorders/>
            <w:shd w:fill="D5EAEA" w:val="clear"/>
            <w:vAlign w:val="center"/>
          </w:tcPr>
          <w:p>
            <w:pPr>
              <w:pStyle w:val="TableContents"/>
              <w:bidi w:val="0"/>
              <w:spacing w:before="0" w:after="283"/>
              <w:jc w:val="left"/>
              <w:rPr>
                <w:b/>
                <w:sz w:val="20"/>
              </w:rPr>
            </w:pPr>
            <w:r>
              <w:rPr>
                <w:b/>
                <w:sz w:val="20"/>
              </w:rPr>
              <w:t>Recoverable taxes</w:t>
            </w:r>
          </w:p>
        </w:tc>
        <w:tc>
          <w:tcPr>
            <w:tcW w:w="1190"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3,483</w:t>
            </w:r>
          </w:p>
        </w:tc>
        <w:tc>
          <w:tcPr>
            <w:tcW w:w="165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9,307</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taxes consist mainly of income taxes paid in advance to tax authorities in Brazil, the United Kingdom and Chile.</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335"/>
        <w:gridCol w:w="1160"/>
      </w:tblGrid>
      <w:tr>
        <w:trPr/>
        <w:tc>
          <w:tcPr>
            <w:tcW w:w="335" w:type="dxa"/>
            <w:tcBorders/>
            <w:vAlign w:val="center"/>
          </w:tcPr>
          <w:p>
            <w:pPr>
              <w:pStyle w:val="TableContents"/>
              <w:bidi w:val="0"/>
              <w:spacing w:before="0" w:after="283"/>
              <w:jc w:val="left"/>
              <w:rPr/>
            </w:pPr>
            <w:r>
              <w:rPr/>
              <w:t>12.</w:t>
            </w:r>
          </w:p>
        </w:tc>
        <w:tc>
          <w:tcPr>
            <w:tcW w:w="1160" w:type="dxa"/>
            <w:tcBorders/>
            <w:vAlign w:val="center"/>
          </w:tcPr>
          <w:p>
            <w:pPr>
              <w:pStyle w:val="TableContents"/>
              <w:bidi w:val="0"/>
              <w:spacing w:before="0" w:after="283"/>
              <w:jc w:val="left"/>
              <w:rPr/>
            </w:pPr>
            <w:r>
              <w:rPr/>
              <w:t>Investments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113"/>
        <w:gridCol w:w="8939"/>
      </w:tblGrid>
      <w:tr>
        <w:trPr/>
        <w:tc>
          <w:tcPr>
            <w:tcW w:w="15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both"/>
              <w:rPr>
                <w:caps w:val="false"/>
                <w:smallCaps w:val="false"/>
              </w:rPr>
            </w:pPr>
            <w:r>
              <w:rPr>
                <w:caps w:val="false"/>
                <w:smallCaps w:val="false"/>
              </w:rPr>
              <w:t>Short-term investments</w:t>
            </w:r>
          </w:p>
        </w:tc>
      </w:tr>
    </w:tbl>
    <w:p>
      <w:pPr>
        <w:pStyle w:val="TextBody"/>
        <w:bidi w:val="0"/>
        <w:spacing w:before="0" w:after="0"/>
        <w:jc w:val="left"/>
        <w:rPr>
          <w:caps w:val="false"/>
          <w:smallCaps w:val="false"/>
        </w:rPr>
      </w:pPr>
      <w:r>
        <w:rPr>
          <w:caps w:val="false"/>
          <w:smallCaps w:val="false"/>
        </w:rPr>
        <w:t> </w:t>
      </w:r>
    </w:p>
    <w:tbl>
      <w:tblPr>
        <w:tblW w:w="4845" w:type="dxa"/>
        <w:jc w:val="center"/>
        <w:tblInd w:w="0" w:type="dxa"/>
        <w:tblLayout w:type="fixed"/>
        <w:tblCellMar>
          <w:top w:w="0" w:type="dxa"/>
          <w:left w:w="0" w:type="dxa"/>
          <w:bottom w:w="0" w:type="dxa"/>
          <w:right w:w="0" w:type="dxa"/>
        </w:tblCellMar>
      </w:tblPr>
      <w:tblGrid>
        <w:gridCol w:w="2000"/>
        <w:gridCol w:w="1190"/>
        <w:gridCol w:w="1655"/>
      </w:tblGrid>
      <w:tr>
        <w:trPr/>
        <w:tc>
          <w:tcPr>
            <w:tcW w:w="200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2000" w:type="dxa"/>
            <w:tcBorders/>
            <w:shd w:fill="D5EAEA" w:val="clear"/>
            <w:vAlign w:val="center"/>
          </w:tcPr>
          <w:p>
            <w:pPr>
              <w:pStyle w:val="TableContents"/>
              <w:bidi w:val="0"/>
              <w:spacing w:before="0" w:after="283"/>
              <w:jc w:val="left"/>
              <w:rPr>
                <w:sz w:val="20"/>
              </w:rPr>
            </w:pPr>
            <w:r>
              <w:rPr>
                <w:sz w:val="20"/>
              </w:rPr>
              <w:t>Securities (a)</w:t>
            </w:r>
          </w:p>
        </w:tc>
        <w:tc>
          <w:tcPr>
            <w:tcW w:w="119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54,587</w:t>
            </w:r>
          </w:p>
        </w:tc>
        <w:tc>
          <w:tcPr>
            <w:tcW w:w="165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35,111</w:t>
            </w:r>
          </w:p>
        </w:tc>
      </w:tr>
      <w:tr>
        <w:trPr/>
        <w:tc>
          <w:tcPr>
            <w:tcW w:w="2000" w:type="dxa"/>
            <w:tcBorders/>
            <w:shd w:fill="FFFFFF" w:val="clear"/>
            <w:vAlign w:val="center"/>
          </w:tcPr>
          <w:p>
            <w:pPr>
              <w:pStyle w:val="TableContents"/>
              <w:bidi w:val="0"/>
              <w:spacing w:before="0" w:after="283"/>
              <w:jc w:val="left"/>
              <w:rPr>
                <w:b/>
                <w:sz w:val="20"/>
              </w:rPr>
            </w:pPr>
            <w:r>
              <w:rPr>
                <w:b/>
                <w:sz w:val="20"/>
              </w:rPr>
              <w:t>Short-term investments</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54,587</w:t>
            </w:r>
          </w:p>
        </w:tc>
        <w:tc>
          <w:tcPr>
            <w:tcW w:w="16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35,111</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283"/>
              <w:jc w:val="both"/>
              <w:rPr/>
            </w:pPr>
            <w:r>
              <w:rPr/>
              <w:t>Securities are liquid investment funds, with portfolios holding term deposits, equities, government bonds, and other short-term liquid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166"/>
        <w:gridCol w:w="8887"/>
      </w:tblGrid>
      <w:tr>
        <w:trPr/>
        <w:tc>
          <w:tcPr>
            <w:tcW w:w="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both"/>
              <w:rPr>
                <w:caps w:val="false"/>
                <w:smallCaps w:val="false"/>
              </w:rPr>
            </w:pPr>
            <w:r>
              <w:rPr>
                <w:caps w:val="false"/>
                <w:smallCaps w:val="false"/>
              </w:rPr>
              <w:t>Long-term investments</w:t>
            </w:r>
          </w:p>
        </w:tc>
      </w:tr>
    </w:tbl>
    <w:p>
      <w:pPr>
        <w:pStyle w:val="TextBody"/>
        <w:bidi w:val="0"/>
        <w:spacing w:before="0" w:after="0"/>
        <w:jc w:val="left"/>
        <w:rPr>
          <w:caps w:val="false"/>
          <w:smallCaps w:val="false"/>
        </w:rPr>
      </w:pPr>
      <w:r>
        <w:rPr>
          <w:caps w:val="false"/>
          <w:smallCaps w:val="false"/>
        </w:rPr>
        <w:t> </w:t>
      </w:r>
    </w:p>
    <w:tbl>
      <w:tblPr>
        <w:tblW w:w="9600" w:type="dxa"/>
        <w:jc w:val="center"/>
        <w:tblInd w:w="0" w:type="dxa"/>
        <w:tblLayout w:type="fixed"/>
        <w:tblCellMar>
          <w:top w:w="0" w:type="dxa"/>
          <w:left w:w="0" w:type="dxa"/>
          <w:bottom w:w="0" w:type="dxa"/>
          <w:right w:w="0" w:type="dxa"/>
        </w:tblCellMar>
      </w:tblPr>
      <w:tblGrid>
        <w:gridCol w:w="6755"/>
        <w:gridCol w:w="1190"/>
        <w:gridCol w:w="1655"/>
      </w:tblGrid>
      <w:tr>
        <w:trPr/>
        <w:tc>
          <w:tcPr>
            <w:tcW w:w="675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6755" w:type="dxa"/>
            <w:tcBorders/>
            <w:shd w:fill="D5EAEA" w:val="clear"/>
            <w:vAlign w:val="center"/>
          </w:tcPr>
          <w:p>
            <w:pPr>
              <w:pStyle w:val="TableContents"/>
              <w:bidi w:val="0"/>
              <w:spacing w:before="0" w:after="283"/>
              <w:jc w:val="left"/>
              <w:rPr>
                <w:sz w:val="20"/>
              </w:rPr>
            </w:pPr>
            <w:r>
              <w:rPr>
                <w:sz w:val="20"/>
              </w:rPr>
              <w:t>KMP Growth Fund II (Cayman), LP (“KMP Growth Fund II”)</w:t>
            </w:r>
          </w:p>
        </w:tc>
        <w:tc>
          <w:tcPr>
            <w:tcW w:w="1190" w:type="dxa"/>
            <w:tcBorders/>
            <w:shd w:fill="D5EAEA" w:val="clear"/>
            <w:vAlign w:val="center"/>
          </w:tcPr>
          <w:p>
            <w:pPr>
              <w:pStyle w:val="TableContents"/>
              <w:bidi w:val="0"/>
              <w:spacing w:before="0" w:after="283"/>
              <w:jc w:val="right"/>
              <w:rPr>
                <w:sz w:val="20"/>
              </w:rPr>
            </w:pPr>
            <w:r>
              <w:rPr>
                <w:sz w:val="20"/>
              </w:rPr>
              <w:t>27,542</w:t>
            </w:r>
          </w:p>
        </w:tc>
        <w:tc>
          <w:tcPr>
            <w:tcW w:w="1655" w:type="dxa"/>
            <w:tcBorders/>
            <w:shd w:fill="D5EAEA" w:val="clear"/>
            <w:vAlign w:val="center"/>
          </w:tcPr>
          <w:p>
            <w:pPr>
              <w:pStyle w:val="TableContents"/>
              <w:bidi w:val="0"/>
              <w:spacing w:before="0" w:after="283"/>
              <w:jc w:val="right"/>
              <w:rPr>
                <w:sz w:val="20"/>
              </w:rPr>
            </w:pPr>
            <w:r>
              <w:rPr>
                <w:sz w:val="20"/>
              </w:rPr>
              <w:t>23,144</w:t>
            </w:r>
          </w:p>
        </w:tc>
      </w:tr>
      <w:tr>
        <w:trPr/>
        <w:tc>
          <w:tcPr>
            <w:tcW w:w="6755" w:type="dxa"/>
            <w:tcBorders/>
            <w:shd w:fill="FFFFFF" w:val="clear"/>
            <w:vAlign w:val="center"/>
          </w:tcPr>
          <w:p>
            <w:pPr>
              <w:pStyle w:val="TableContents"/>
              <w:bidi w:val="0"/>
              <w:spacing w:before="0" w:after="283"/>
              <w:jc w:val="left"/>
              <w:rPr>
                <w:sz w:val="20"/>
              </w:rPr>
            </w:pPr>
            <w:r>
              <w:rPr>
                <w:sz w:val="20"/>
              </w:rPr>
              <w:t>AgroFibra Mexico</w:t>
            </w:r>
          </w:p>
        </w:tc>
        <w:tc>
          <w:tcPr>
            <w:tcW w:w="1190" w:type="dxa"/>
            <w:tcBorders/>
            <w:shd w:fill="FFFFFF" w:val="clear"/>
            <w:vAlign w:val="center"/>
          </w:tcPr>
          <w:p>
            <w:pPr>
              <w:pStyle w:val="TableContents"/>
              <w:bidi w:val="0"/>
              <w:spacing w:before="0" w:after="283"/>
              <w:jc w:val="right"/>
              <w:rPr>
                <w:sz w:val="20"/>
              </w:rPr>
            </w:pPr>
            <w:r>
              <w:rPr>
                <w:sz w:val="20"/>
              </w:rPr>
              <w:t>3,291</w:t>
            </w:r>
          </w:p>
        </w:tc>
        <w:tc>
          <w:tcPr>
            <w:tcW w:w="1655" w:type="dxa"/>
            <w:tcBorders/>
            <w:shd w:fill="FFFFFF" w:val="clear"/>
            <w:vAlign w:val="center"/>
          </w:tcPr>
          <w:p>
            <w:pPr>
              <w:pStyle w:val="TableContents"/>
              <w:bidi w:val="0"/>
              <w:spacing w:before="0" w:after="283"/>
              <w:jc w:val="right"/>
              <w:rPr>
                <w:sz w:val="20"/>
              </w:rPr>
            </w:pPr>
            <w:r>
              <w:rPr>
                <w:sz w:val="20"/>
              </w:rPr>
              <w:t>3,048</w:t>
            </w:r>
          </w:p>
        </w:tc>
      </w:tr>
      <w:tr>
        <w:trPr/>
        <w:tc>
          <w:tcPr>
            <w:tcW w:w="6755" w:type="dxa"/>
            <w:tcBorders/>
            <w:shd w:fill="D5EAEA" w:val="clear"/>
            <w:vAlign w:val="center"/>
          </w:tcPr>
          <w:p>
            <w:pPr>
              <w:pStyle w:val="TableContents"/>
              <w:bidi w:val="0"/>
              <w:spacing w:before="0" w:after="283"/>
              <w:jc w:val="left"/>
              <w:rPr>
                <w:sz w:val="20"/>
              </w:rPr>
            </w:pPr>
            <w:r>
              <w:rPr>
                <w:sz w:val="20"/>
              </w:rPr>
              <w:t>Patria Infrastructure Fund V, L.P.</w:t>
            </w:r>
          </w:p>
        </w:tc>
        <w:tc>
          <w:tcPr>
            <w:tcW w:w="1190" w:type="dxa"/>
            <w:tcBorders/>
            <w:shd w:fill="D5EAEA" w:val="clear"/>
            <w:vAlign w:val="center"/>
          </w:tcPr>
          <w:p>
            <w:pPr>
              <w:pStyle w:val="TableContents"/>
              <w:bidi w:val="0"/>
              <w:spacing w:before="0" w:after="283"/>
              <w:jc w:val="right"/>
              <w:rPr>
                <w:sz w:val="20"/>
              </w:rPr>
            </w:pPr>
            <w:r>
              <w:rPr>
                <w:sz w:val="20"/>
              </w:rPr>
              <w:t>1,640</w:t>
            </w:r>
          </w:p>
        </w:tc>
        <w:tc>
          <w:tcPr>
            <w:tcW w:w="1655" w:type="dxa"/>
            <w:tcBorders/>
            <w:shd w:fill="D5EAEA" w:val="clear"/>
            <w:vAlign w:val="center"/>
          </w:tcPr>
          <w:p>
            <w:pPr>
              <w:pStyle w:val="TableContents"/>
              <w:bidi w:val="0"/>
              <w:spacing w:before="0" w:after="283"/>
              <w:jc w:val="right"/>
              <w:rPr>
                <w:sz w:val="20"/>
              </w:rPr>
            </w:pPr>
            <w:r>
              <w:rPr>
                <w:sz w:val="20"/>
              </w:rPr>
              <w:t>2,628</w:t>
            </w:r>
          </w:p>
        </w:tc>
      </w:tr>
      <w:tr>
        <w:trPr/>
        <w:tc>
          <w:tcPr>
            <w:tcW w:w="6755" w:type="dxa"/>
            <w:tcBorders/>
            <w:shd w:fill="FFFFFF" w:val="clear"/>
            <w:vAlign w:val="center"/>
          </w:tcPr>
          <w:p>
            <w:pPr>
              <w:pStyle w:val="TableContents"/>
              <w:bidi w:val="0"/>
              <w:spacing w:before="0" w:after="283"/>
              <w:jc w:val="left"/>
              <w:rPr>
                <w:sz w:val="20"/>
              </w:rPr>
            </w:pPr>
            <w:r>
              <w:rPr>
                <w:sz w:val="20"/>
              </w:rPr>
              <w:t>Patria Infra Crédito FIDC</w:t>
            </w:r>
          </w:p>
        </w:tc>
        <w:tc>
          <w:tcPr>
            <w:tcW w:w="1190" w:type="dxa"/>
            <w:tcBorders/>
            <w:shd w:fill="FFFFFF" w:val="clear"/>
            <w:vAlign w:val="center"/>
          </w:tcPr>
          <w:p>
            <w:pPr>
              <w:pStyle w:val="TableContents"/>
              <w:bidi w:val="0"/>
              <w:spacing w:before="0" w:after="283"/>
              <w:jc w:val="right"/>
              <w:rPr>
                <w:sz w:val="20"/>
              </w:rPr>
            </w:pPr>
            <w:r>
              <w:rPr>
                <w:sz w:val="20"/>
              </w:rPr>
              <w:t>2,768</w:t>
            </w:r>
          </w:p>
        </w:tc>
        <w:tc>
          <w:tcPr>
            <w:tcW w:w="1655" w:type="dxa"/>
            <w:tcBorders/>
            <w:shd w:fill="FFFFFF" w:val="clear"/>
            <w:vAlign w:val="center"/>
          </w:tcPr>
          <w:p>
            <w:pPr>
              <w:pStyle w:val="TableContents"/>
              <w:bidi w:val="0"/>
              <w:spacing w:before="0" w:after="283"/>
              <w:jc w:val="right"/>
              <w:rPr>
                <w:sz w:val="20"/>
              </w:rPr>
            </w:pPr>
            <w:r>
              <w:rPr>
                <w:sz w:val="20"/>
              </w:rPr>
              <w:t>2,369</w:t>
            </w:r>
          </w:p>
        </w:tc>
      </w:tr>
      <w:tr>
        <w:trPr/>
        <w:tc>
          <w:tcPr>
            <w:tcW w:w="6755" w:type="dxa"/>
            <w:tcBorders/>
            <w:shd w:fill="D5EAEA" w:val="clear"/>
            <w:vAlign w:val="center"/>
          </w:tcPr>
          <w:p>
            <w:pPr>
              <w:pStyle w:val="TableContents"/>
              <w:bidi w:val="0"/>
              <w:spacing w:before="0" w:after="283"/>
              <w:jc w:val="left"/>
              <w:rPr>
                <w:sz w:val="20"/>
              </w:rPr>
            </w:pPr>
            <w:r>
              <w:rPr>
                <w:sz w:val="20"/>
              </w:rPr>
              <w:t>Lavoro Agro Fi Nas Cadeias Produtivas Agroindustriais Fiagro Direitos Creditorios</w:t>
            </w:r>
          </w:p>
        </w:tc>
        <w:tc>
          <w:tcPr>
            <w:tcW w:w="1190" w:type="dxa"/>
            <w:tcBorders/>
            <w:shd w:fill="D5EAEA" w:val="clear"/>
            <w:vAlign w:val="center"/>
          </w:tcPr>
          <w:p>
            <w:pPr>
              <w:pStyle w:val="TableContents"/>
              <w:bidi w:val="0"/>
              <w:spacing w:before="0" w:after="283"/>
              <w:jc w:val="right"/>
              <w:rPr>
                <w:sz w:val="20"/>
              </w:rPr>
            </w:pPr>
            <w:r>
              <w:rPr>
                <w:sz w:val="20"/>
              </w:rPr>
              <w:t>1,520</w:t>
            </w:r>
          </w:p>
        </w:tc>
        <w:tc>
          <w:tcPr>
            <w:tcW w:w="1655" w:type="dxa"/>
            <w:tcBorders/>
            <w:shd w:fill="D5EAEA" w:val="clear"/>
            <w:vAlign w:val="center"/>
          </w:tcPr>
          <w:p>
            <w:pPr>
              <w:pStyle w:val="TableContents"/>
              <w:bidi w:val="0"/>
              <w:spacing w:before="0" w:after="283"/>
              <w:jc w:val="right"/>
              <w:rPr>
                <w:sz w:val="20"/>
              </w:rPr>
            </w:pPr>
            <w:r>
              <w:rPr>
                <w:sz w:val="20"/>
              </w:rPr>
              <w:t>1,731</w:t>
            </w:r>
          </w:p>
        </w:tc>
      </w:tr>
      <w:tr>
        <w:trPr/>
        <w:tc>
          <w:tcPr>
            <w:tcW w:w="6755" w:type="dxa"/>
            <w:tcBorders/>
            <w:shd w:fill="FFFFFF" w:val="clear"/>
            <w:vAlign w:val="center"/>
          </w:tcPr>
          <w:p>
            <w:pPr>
              <w:pStyle w:val="TableContents"/>
              <w:bidi w:val="0"/>
              <w:spacing w:before="0" w:after="283"/>
              <w:jc w:val="left"/>
              <w:rPr>
                <w:sz w:val="20"/>
              </w:rPr>
            </w:pPr>
            <w:r>
              <w:rPr>
                <w:sz w:val="20"/>
              </w:rPr>
              <w:t>Patria Infra Energia Core FIP EM Infraestrutura</w:t>
            </w:r>
          </w:p>
        </w:tc>
        <w:tc>
          <w:tcPr>
            <w:tcW w:w="1190" w:type="dxa"/>
            <w:tcBorders/>
            <w:shd w:fill="FFFFFF" w:val="clear"/>
            <w:vAlign w:val="center"/>
          </w:tcPr>
          <w:p>
            <w:pPr>
              <w:pStyle w:val="TableContents"/>
              <w:bidi w:val="0"/>
              <w:spacing w:before="0" w:after="283"/>
              <w:jc w:val="right"/>
              <w:rPr>
                <w:sz w:val="20"/>
              </w:rPr>
            </w:pPr>
            <w:r>
              <w:rPr>
                <w:sz w:val="20"/>
              </w:rPr>
              <w:t>1,835</w:t>
            </w:r>
          </w:p>
        </w:tc>
        <w:tc>
          <w:tcPr>
            <w:tcW w:w="1655" w:type="dxa"/>
            <w:tcBorders/>
            <w:shd w:fill="FFFFFF" w:val="clear"/>
            <w:vAlign w:val="center"/>
          </w:tcPr>
          <w:p>
            <w:pPr>
              <w:pStyle w:val="TableContents"/>
              <w:bidi w:val="0"/>
              <w:spacing w:before="0" w:after="283"/>
              <w:jc w:val="right"/>
              <w:rPr>
                <w:sz w:val="20"/>
              </w:rPr>
            </w:pPr>
            <w:r>
              <w:rPr>
                <w:sz w:val="20"/>
              </w:rPr>
              <w:t>1,667</w:t>
            </w:r>
          </w:p>
        </w:tc>
      </w:tr>
      <w:tr>
        <w:trPr/>
        <w:tc>
          <w:tcPr>
            <w:tcW w:w="6755" w:type="dxa"/>
            <w:tcBorders/>
            <w:shd w:fill="D5EAEA" w:val="clear"/>
            <w:vAlign w:val="center"/>
          </w:tcPr>
          <w:p>
            <w:pPr>
              <w:pStyle w:val="TableContents"/>
              <w:bidi w:val="0"/>
              <w:spacing w:before="0" w:after="283"/>
              <w:jc w:val="left"/>
              <w:rPr>
                <w:sz w:val="20"/>
              </w:rPr>
            </w:pPr>
            <w:r>
              <w:rPr>
                <w:sz w:val="20"/>
              </w:rPr>
              <w:t>Lavoro Agro Limited</w:t>
            </w:r>
          </w:p>
        </w:tc>
        <w:tc>
          <w:tcPr>
            <w:tcW w:w="1190" w:type="dxa"/>
            <w:tcBorders/>
            <w:shd w:fill="D5EAEA" w:val="clear"/>
            <w:vAlign w:val="center"/>
          </w:tcPr>
          <w:p>
            <w:pPr>
              <w:pStyle w:val="TableContents"/>
              <w:bidi w:val="0"/>
              <w:spacing w:before="0" w:after="283"/>
              <w:jc w:val="right"/>
              <w:rPr>
                <w:sz w:val="20"/>
              </w:rPr>
            </w:pPr>
            <w:r>
              <w:rPr>
                <w:sz w:val="20"/>
              </w:rPr>
              <w:t>-</w:t>
            </w:r>
          </w:p>
        </w:tc>
        <w:tc>
          <w:tcPr>
            <w:tcW w:w="1655" w:type="dxa"/>
            <w:tcBorders/>
            <w:shd w:fill="D5EAEA" w:val="clear"/>
            <w:vAlign w:val="center"/>
          </w:tcPr>
          <w:p>
            <w:pPr>
              <w:pStyle w:val="TableContents"/>
              <w:bidi w:val="0"/>
              <w:spacing w:before="0" w:after="283"/>
              <w:jc w:val="right"/>
              <w:rPr>
                <w:sz w:val="20"/>
              </w:rPr>
            </w:pPr>
            <w:r>
              <w:rPr>
                <w:sz w:val="20"/>
              </w:rPr>
              <w:t>1,065</w:t>
            </w:r>
          </w:p>
        </w:tc>
      </w:tr>
      <w:tr>
        <w:trPr/>
        <w:tc>
          <w:tcPr>
            <w:tcW w:w="6755" w:type="dxa"/>
            <w:tcBorders/>
            <w:shd w:fill="FFFFFF" w:val="clear"/>
            <w:vAlign w:val="center"/>
          </w:tcPr>
          <w:p>
            <w:pPr>
              <w:pStyle w:val="TableContents"/>
              <w:bidi w:val="0"/>
              <w:spacing w:before="0" w:after="283"/>
              <w:jc w:val="left"/>
              <w:rPr>
                <w:sz w:val="20"/>
              </w:rPr>
            </w:pPr>
            <w:r>
              <w:rPr>
                <w:sz w:val="20"/>
              </w:rPr>
              <w:t>Igah Ventures IV</w:t>
            </w:r>
          </w:p>
        </w:tc>
        <w:tc>
          <w:tcPr>
            <w:tcW w:w="1190" w:type="dxa"/>
            <w:tcBorders/>
            <w:shd w:fill="FFFFFF" w:val="clear"/>
            <w:vAlign w:val="center"/>
          </w:tcPr>
          <w:p>
            <w:pPr>
              <w:pStyle w:val="TableContents"/>
              <w:bidi w:val="0"/>
              <w:spacing w:before="0" w:after="283"/>
              <w:jc w:val="right"/>
              <w:rPr>
                <w:sz w:val="20"/>
              </w:rPr>
            </w:pPr>
            <w:r>
              <w:rPr>
                <w:sz w:val="20"/>
              </w:rPr>
              <w:t>1,119</w:t>
            </w:r>
          </w:p>
        </w:tc>
        <w:tc>
          <w:tcPr>
            <w:tcW w:w="1655" w:type="dxa"/>
            <w:tcBorders/>
            <w:shd w:fill="FFFFFF" w:val="clear"/>
            <w:vAlign w:val="center"/>
          </w:tcPr>
          <w:p>
            <w:pPr>
              <w:pStyle w:val="TableContents"/>
              <w:bidi w:val="0"/>
              <w:spacing w:before="0" w:after="283"/>
              <w:jc w:val="right"/>
              <w:rPr>
                <w:sz w:val="20"/>
              </w:rPr>
            </w:pPr>
            <w:r>
              <w:rPr>
                <w:sz w:val="20"/>
              </w:rPr>
              <w:t>782</w:t>
            </w:r>
          </w:p>
        </w:tc>
      </w:tr>
      <w:tr>
        <w:trPr/>
        <w:tc>
          <w:tcPr>
            <w:tcW w:w="6755" w:type="dxa"/>
            <w:tcBorders/>
            <w:shd w:fill="D5EAEA" w:val="clear"/>
            <w:vAlign w:val="center"/>
          </w:tcPr>
          <w:p>
            <w:pPr>
              <w:pStyle w:val="TableContents"/>
              <w:bidi w:val="0"/>
              <w:spacing w:before="0" w:after="283"/>
              <w:jc w:val="left"/>
              <w:rPr>
                <w:sz w:val="20"/>
              </w:rPr>
            </w:pPr>
            <w:r>
              <w:rPr>
                <w:sz w:val="20"/>
              </w:rPr>
              <w:t>Other investments</w:t>
            </w:r>
          </w:p>
        </w:tc>
        <w:tc>
          <w:tcPr>
            <w:tcW w:w="119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11,670</w:t>
            </w:r>
          </w:p>
        </w:tc>
        <w:tc>
          <w:tcPr>
            <w:tcW w:w="165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8,093</w:t>
            </w:r>
          </w:p>
        </w:tc>
      </w:tr>
      <w:tr>
        <w:trPr/>
        <w:tc>
          <w:tcPr>
            <w:tcW w:w="6755" w:type="dxa"/>
            <w:tcBorders/>
            <w:shd w:fill="FFFFFF" w:val="clear"/>
            <w:vAlign w:val="center"/>
          </w:tcPr>
          <w:p>
            <w:pPr>
              <w:pStyle w:val="TableContents"/>
              <w:bidi w:val="0"/>
              <w:spacing w:before="0" w:after="283"/>
              <w:jc w:val="left"/>
              <w:rPr>
                <w:b/>
                <w:sz w:val="20"/>
              </w:rPr>
            </w:pPr>
            <w:r>
              <w:rPr>
                <w:b/>
                <w:sz w:val="20"/>
              </w:rPr>
              <w:t>Long-term investments</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51,385</w:t>
            </w:r>
          </w:p>
        </w:tc>
        <w:tc>
          <w:tcPr>
            <w:tcW w:w="16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44,527</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breakdown of long-term investments by region:</w:t>
      </w:r>
    </w:p>
    <w:p>
      <w:pPr>
        <w:pStyle w:val="TextBody"/>
        <w:bidi w:val="0"/>
        <w:spacing w:before="0" w:after="0"/>
        <w:ind w:left="0" w:right="0" w:hanging="0"/>
        <w:jc w:val="both"/>
        <w:rPr>
          <w:caps w:val="false"/>
          <w:smallCaps w:val="false"/>
        </w:rPr>
      </w:pPr>
      <w:r>
        <w:rPr>
          <w:caps w:val="false"/>
          <w:smallCaps w:val="false"/>
        </w:rPr>
        <w:t> </w:t>
      </w:r>
    </w:p>
    <w:tbl>
      <w:tblPr>
        <w:tblW w:w="3570" w:type="dxa"/>
        <w:jc w:val="center"/>
        <w:tblInd w:w="0" w:type="dxa"/>
        <w:tblLayout w:type="fixed"/>
        <w:tblCellMar>
          <w:top w:w="0" w:type="dxa"/>
          <w:left w:w="0" w:type="dxa"/>
          <w:bottom w:w="0" w:type="dxa"/>
          <w:right w:w="0" w:type="dxa"/>
        </w:tblCellMar>
      </w:tblPr>
      <w:tblGrid>
        <w:gridCol w:w="725"/>
        <w:gridCol w:w="1190"/>
        <w:gridCol w:w="1655"/>
      </w:tblGrid>
      <w:tr>
        <w:trPr/>
        <w:tc>
          <w:tcPr>
            <w:tcW w:w="72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725" w:type="dxa"/>
            <w:tcBorders/>
            <w:shd w:fill="D5EAEA" w:val="clear"/>
            <w:vAlign w:val="center"/>
          </w:tcPr>
          <w:p>
            <w:pPr>
              <w:pStyle w:val="TableContents"/>
              <w:bidi w:val="0"/>
              <w:spacing w:before="0" w:after="283"/>
              <w:jc w:val="left"/>
              <w:rPr>
                <w:sz w:val="20"/>
              </w:rPr>
            </w:pPr>
            <w:r>
              <w:rPr>
                <w:sz w:val="20"/>
              </w:rPr>
              <w:t>Brazil</w:t>
            </w:r>
          </w:p>
        </w:tc>
        <w:tc>
          <w:tcPr>
            <w:tcW w:w="1190" w:type="dxa"/>
            <w:tcBorders/>
            <w:shd w:fill="D5EAEA" w:val="clear"/>
            <w:vAlign w:val="center"/>
          </w:tcPr>
          <w:p>
            <w:pPr>
              <w:pStyle w:val="TableContents"/>
              <w:bidi w:val="0"/>
              <w:spacing w:before="0" w:after="283"/>
              <w:jc w:val="right"/>
              <w:rPr>
                <w:sz w:val="20"/>
              </w:rPr>
            </w:pPr>
            <w:r>
              <w:rPr>
                <w:sz w:val="20"/>
              </w:rPr>
              <w:t>36,424</w:t>
            </w:r>
          </w:p>
        </w:tc>
        <w:tc>
          <w:tcPr>
            <w:tcW w:w="1655" w:type="dxa"/>
            <w:tcBorders/>
            <w:shd w:fill="D5EAEA" w:val="clear"/>
            <w:vAlign w:val="center"/>
          </w:tcPr>
          <w:p>
            <w:pPr>
              <w:pStyle w:val="TableContents"/>
              <w:bidi w:val="0"/>
              <w:spacing w:before="0" w:after="283"/>
              <w:jc w:val="right"/>
              <w:rPr>
                <w:sz w:val="20"/>
              </w:rPr>
            </w:pPr>
            <w:r>
              <w:rPr>
                <w:sz w:val="20"/>
              </w:rPr>
              <w:t>33,963</w:t>
            </w:r>
          </w:p>
        </w:tc>
      </w:tr>
      <w:tr>
        <w:trPr/>
        <w:tc>
          <w:tcPr>
            <w:tcW w:w="725" w:type="dxa"/>
            <w:tcBorders/>
            <w:shd w:fill="FFFFFF" w:val="clear"/>
            <w:vAlign w:val="center"/>
          </w:tcPr>
          <w:p>
            <w:pPr>
              <w:pStyle w:val="TableContents"/>
              <w:bidi w:val="0"/>
              <w:spacing w:before="0" w:after="283"/>
              <w:jc w:val="left"/>
              <w:rPr>
                <w:sz w:val="20"/>
              </w:rPr>
            </w:pPr>
            <w:r>
              <w:rPr>
                <w:sz w:val="20"/>
              </w:rPr>
              <w:t>Mexico</w:t>
            </w:r>
          </w:p>
        </w:tc>
        <w:tc>
          <w:tcPr>
            <w:tcW w:w="1190" w:type="dxa"/>
            <w:tcBorders/>
            <w:shd w:fill="FFFFFF" w:val="clear"/>
            <w:vAlign w:val="center"/>
          </w:tcPr>
          <w:p>
            <w:pPr>
              <w:pStyle w:val="TableContents"/>
              <w:bidi w:val="0"/>
              <w:spacing w:before="0" w:after="283"/>
              <w:jc w:val="right"/>
              <w:rPr>
                <w:sz w:val="20"/>
              </w:rPr>
            </w:pPr>
            <w:r>
              <w:rPr>
                <w:sz w:val="20"/>
              </w:rPr>
              <w:t>3,291</w:t>
            </w:r>
          </w:p>
        </w:tc>
        <w:tc>
          <w:tcPr>
            <w:tcW w:w="1655" w:type="dxa"/>
            <w:tcBorders/>
            <w:shd w:fill="FFFFFF" w:val="clear"/>
            <w:vAlign w:val="center"/>
          </w:tcPr>
          <w:p>
            <w:pPr>
              <w:pStyle w:val="TableContents"/>
              <w:bidi w:val="0"/>
              <w:spacing w:before="0" w:after="283"/>
              <w:jc w:val="right"/>
              <w:rPr>
                <w:sz w:val="20"/>
              </w:rPr>
            </w:pPr>
            <w:r>
              <w:rPr>
                <w:sz w:val="20"/>
              </w:rPr>
              <w:t>3,048</w:t>
            </w:r>
          </w:p>
        </w:tc>
      </w:tr>
      <w:tr>
        <w:trPr/>
        <w:tc>
          <w:tcPr>
            <w:tcW w:w="725" w:type="dxa"/>
            <w:tcBorders/>
            <w:shd w:fill="D5EAEA" w:val="clear"/>
            <w:vAlign w:val="center"/>
          </w:tcPr>
          <w:p>
            <w:pPr>
              <w:pStyle w:val="TableContents"/>
              <w:bidi w:val="0"/>
              <w:spacing w:before="0" w:after="283"/>
              <w:jc w:val="left"/>
              <w:rPr>
                <w:sz w:val="20"/>
              </w:rPr>
            </w:pPr>
            <w:r>
              <w:rPr>
                <w:sz w:val="20"/>
              </w:rPr>
              <w:t>Other</w:t>
            </w:r>
          </w:p>
        </w:tc>
        <w:tc>
          <w:tcPr>
            <w:tcW w:w="1190" w:type="dxa"/>
            <w:tcBorders/>
            <w:shd w:fill="D5EAEA" w:val="clear"/>
            <w:vAlign w:val="center"/>
          </w:tcPr>
          <w:p>
            <w:pPr>
              <w:pStyle w:val="TableContents"/>
              <w:bidi w:val="0"/>
              <w:spacing w:before="0" w:after="283"/>
              <w:jc w:val="right"/>
              <w:rPr>
                <w:sz w:val="20"/>
              </w:rPr>
            </w:pPr>
            <w:r>
              <w:rPr>
                <w:sz w:val="20"/>
              </w:rPr>
              <w:t>11,670</w:t>
            </w:r>
          </w:p>
        </w:tc>
        <w:tc>
          <w:tcPr>
            <w:tcW w:w="1655" w:type="dxa"/>
            <w:tcBorders/>
            <w:shd w:fill="D5EAEA" w:val="clear"/>
            <w:vAlign w:val="center"/>
          </w:tcPr>
          <w:p>
            <w:pPr>
              <w:pStyle w:val="TableContents"/>
              <w:bidi w:val="0"/>
              <w:spacing w:before="0" w:after="283"/>
              <w:jc w:val="right"/>
              <w:rPr>
                <w:sz w:val="20"/>
              </w:rPr>
            </w:pPr>
            <w:r>
              <w:rPr>
                <w:sz w:val="20"/>
              </w:rPr>
              <w:t>7,516</w:t>
            </w:r>
          </w:p>
        </w:tc>
      </w:tr>
      <w:tr>
        <w:trPr/>
        <w:tc>
          <w:tcPr>
            <w:tcW w:w="725" w:type="dxa"/>
            <w:tcBorders/>
            <w:shd w:fill="FFFFFF" w:val="clear"/>
            <w:vAlign w:val="center"/>
          </w:tcPr>
          <w:p>
            <w:pPr>
              <w:pStyle w:val="TableContents"/>
              <w:bidi w:val="0"/>
              <w:spacing w:before="0" w:after="283"/>
              <w:jc w:val="left"/>
              <w:rPr>
                <w:b/>
                <w:sz w:val="20"/>
              </w:rPr>
            </w:pPr>
            <w:r>
              <w:rPr>
                <w:b/>
                <w:sz w:val="20"/>
              </w:rPr>
              <w:t>Balance</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51,385</w:t>
            </w:r>
          </w:p>
        </w:tc>
        <w:tc>
          <w:tcPr>
            <w:tcW w:w="165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44,527</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 investments held through investment funds are allocated in accordance with the country of incorporation of underlying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494"/>
        <w:gridCol w:w="9643"/>
      </w:tblGrid>
      <w:tr>
        <w:trPr/>
        <w:tc>
          <w:tcPr>
            <w:tcW w:w="6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(c)</w:t>
            </w:r>
          </w:p>
        </w:tc>
        <w:tc>
          <w:tcPr>
            <w:tcW w:w="9643" w:type="dxa"/>
            <w:tcBorders/>
            <w:vAlign w:val="center"/>
          </w:tcPr>
          <w:p>
            <w:pPr>
              <w:pStyle w:val="TableContents"/>
              <w:bidi w:val="0"/>
              <w:spacing w:before="0" w:after="283"/>
              <w:jc w:val="both"/>
              <w:rPr>
                <w:caps w:val="false"/>
                <w:smallCaps w:val="false"/>
              </w:rPr>
            </w:pPr>
            <w:r>
              <w:rPr>
                <w:caps w:val="false"/>
                <w:smallCaps w:val="false"/>
              </w:rPr>
              <w:t>Energy trading contracts and Other financial instruments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instruments are comprised of fair value adjustments on options, warrants, energy trading contracts and total return swap arrangements.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Energy trading contracts – fair value adjustments are determined based on energy prices published by BBCE – Balcão Brasileiro de Comercialização de Energia. Fair value changes together with realized gains and losses are recognized in other income/(expenses).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Options – option contracts provide the holder with the right to acquire an instrument at a predetermined price at a future date. The fair value of option arrangements is determined using a Monte Carlo simulation model, with changes in fair value recognized in finance income or finance expense.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Warrants – warrant liabilities contain features that qualify as embedded derivatives. The fair value of warrants is determined using a Monte Carlo simulation model, with changes in fair value recognized in finance income or finance expense.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Total return swap – fair value adjustments are based on the fluctuation in the PAX shares price less the cost incurred on the swap plus dividends receivable on the shares (if declared but unpaid). The fair value adjustments on the swap are recognized in finance income or finance expense.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composition of other financial instruments (assets and liabilities) by type of instrument, notional, fair value and maturity as of June 30, 2026, and December 31, 2025.</w:t>
      </w:r>
    </w:p>
    <w:p>
      <w:pPr>
        <w:pStyle w:val="TextBody"/>
        <w:bidi w:val="0"/>
        <w:spacing w:before="0" w:after="0"/>
        <w:ind w:left="0" w:right="0" w:hanging="0"/>
        <w:jc w:val="both"/>
        <w:rPr>
          <w:caps w:val="false"/>
          <w:smallCaps w:val="false"/>
        </w:rPr>
      </w:pPr>
      <w:r>
        <w:rPr>
          <w:caps w:val="false"/>
          <w:smallCaps w:val="false"/>
        </w:rPr>
        <w:t> </w:t>
      </w:r>
    </w:p>
    <w:tbl>
      <w:tblPr>
        <w:tblW w:w="8795" w:type="dxa"/>
        <w:jc w:val="left"/>
        <w:tblInd w:w="0" w:type="dxa"/>
        <w:tblLayout w:type="fixed"/>
        <w:tblCellMar>
          <w:top w:w="0" w:type="dxa"/>
          <w:left w:w="0" w:type="dxa"/>
          <w:bottom w:w="28" w:type="dxa"/>
          <w:right w:w="0" w:type="dxa"/>
        </w:tblCellMar>
      </w:tblPr>
      <w:tblGrid>
        <w:gridCol w:w="2030"/>
        <w:gridCol w:w="755"/>
        <w:gridCol w:w="935"/>
        <w:gridCol w:w="530"/>
        <w:gridCol w:w="1280"/>
        <w:gridCol w:w="1775"/>
        <w:gridCol w:w="1490"/>
      </w:tblGrid>
      <w:tr>
        <w:trPr/>
        <w:tc>
          <w:tcPr>
            <w:tcW w:w="2030" w:type="dxa"/>
            <w:vMerge w:val="restart"/>
            <w:tcBorders>
              <w:bottom w:val="single" w:sz="8" w:space="0" w:color="000000"/>
            </w:tcBorders>
            <w:vAlign w:val="center"/>
          </w:tcPr>
          <w:p>
            <w:pPr>
              <w:pStyle w:val="TableContents"/>
              <w:bidi w:val="0"/>
              <w:spacing w:before="0" w:after="283"/>
              <w:jc w:val="left"/>
              <w:rPr>
                <w:b/>
                <w:sz w:val="20"/>
              </w:rPr>
            </w:pPr>
            <w:r>
              <w:rPr>
                <w:b/>
                <w:sz w:val="20"/>
              </w:rPr>
              <w:t>Financial instruments</w:t>
            </w:r>
          </w:p>
        </w:tc>
        <w:tc>
          <w:tcPr>
            <w:tcW w:w="6765" w:type="dxa"/>
            <w:gridSpan w:val="6"/>
            <w:tcBorders>
              <w:bottom w:val="single" w:sz="8" w:space="0" w:color="000000"/>
            </w:tcBorders>
            <w:vAlign w:val="center"/>
          </w:tcPr>
          <w:p>
            <w:pPr>
              <w:pStyle w:val="TableContents"/>
              <w:bidi w:val="0"/>
              <w:spacing w:before="0" w:after="283"/>
              <w:jc w:val="center"/>
              <w:rPr>
                <w:b/>
                <w:sz w:val="20"/>
              </w:rPr>
            </w:pPr>
            <w:r>
              <w:rPr>
                <w:b/>
                <w:sz w:val="20"/>
              </w:rPr>
              <w:t>June 30, 2026</w:t>
            </w:r>
          </w:p>
        </w:tc>
      </w:tr>
      <w:tr>
        <w:trPr/>
        <w:tc>
          <w:tcPr>
            <w:tcW w:w="2030" w:type="dxa"/>
            <w:vMerge w:val="continue"/>
            <w:tcBorders>
              <w:bottom w:val="single" w:sz="8" w:space="0" w:color="000000"/>
            </w:tcBorders>
            <w:vAlign w:val="center"/>
          </w:tcPr>
          <w:p>
            <w:pPr>
              <w:pStyle w:val="Normal"/>
              <w:bidi w:val="0"/>
              <w:jc w:val="left"/>
              <w:rPr/>
            </w:pPr>
            <w:r>
              <w:rPr/>
            </w:r>
          </w:p>
        </w:tc>
        <w:tc>
          <w:tcPr>
            <w:tcW w:w="755" w:type="dxa"/>
            <w:tcBorders>
              <w:bottom w:val="single" w:sz="8" w:space="0" w:color="000000"/>
            </w:tcBorders>
            <w:vAlign w:val="center"/>
          </w:tcPr>
          <w:p>
            <w:pPr>
              <w:pStyle w:val="TableContents"/>
              <w:bidi w:val="0"/>
              <w:spacing w:before="0" w:after="283"/>
              <w:jc w:val="center"/>
              <w:rPr>
                <w:b/>
                <w:sz w:val="20"/>
              </w:rPr>
            </w:pPr>
            <w:r>
              <w:rPr>
                <w:b/>
                <w:sz w:val="20"/>
              </w:rPr>
              <w:t>Notional</w:t>
            </w:r>
          </w:p>
        </w:tc>
        <w:tc>
          <w:tcPr>
            <w:tcW w:w="935" w:type="dxa"/>
            <w:tcBorders>
              <w:bottom w:val="single" w:sz="8" w:space="0" w:color="000000"/>
            </w:tcBorders>
            <w:vAlign w:val="center"/>
          </w:tcPr>
          <w:p>
            <w:pPr>
              <w:pStyle w:val="TableContents"/>
              <w:bidi w:val="0"/>
              <w:spacing w:before="0" w:after="283"/>
              <w:jc w:val="center"/>
              <w:rPr>
                <w:b/>
                <w:sz w:val="20"/>
              </w:rPr>
            </w:pPr>
            <w:r>
              <w:rPr>
                <w:b/>
                <w:sz w:val="20"/>
              </w:rPr>
              <w:t>Fair Value</w:t>
            </w:r>
          </w:p>
        </w:tc>
        <w:tc>
          <w:tcPr>
            <w:tcW w:w="530" w:type="dxa"/>
            <w:tcBorders>
              <w:bottom w:val="single" w:sz="8" w:space="0" w:color="000000"/>
            </w:tcBorders>
            <w:vAlign w:val="center"/>
          </w:tcPr>
          <w:p>
            <w:pPr>
              <w:pStyle w:val="TableContents"/>
              <w:bidi w:val="0"/>
              <w:spacing w:before="0" w:after="283"/>
              <w:jc w:val="center"/>
              <w:rPr>
                <w:b/>
                <w:sz w:val="20"/>
              </w:rPr>
            </w:pPr>
            <w:r>
              <w:rPr>
                <w:b/>
                <w:sz w:val="20"/>
              </w:rPr>
              <w:t>%</w:t>
            </w:r>
          </w:p>
        </w:tc>
        <w:tc>
          <w:tcPr>
            <w:tcW w:w="1280" w:type="dxa"/>
            <w:tcBorders>
              <w:bottom w:val="single" w:sz="8" w:space="0" w:color="000000"/>
            </w:tcBorders>
            <w:vAlign w:val="center"/>
          </w:tcPr>
          <w:p>
            <w:pPr>
              <w:pStyle w:val="TableContents"/>
              <w:bidi w:val="0"/>
              <w:spacing w:before="0" w:after="283"/>
              <w:jc w:val="center"/>
              <w:rPr>
                <w:b/>
                <w:sz w:val="20"/>
              </w:rPr>
            </w:pPr>
            <w:r>
              <w:rPr>
                <w:b/>
                <w:sz w:val="20"/>
              </w:rPr>
              <w:t>Up to 3 months</w:t>
            </w:r>
          </w:p>
        </w:tc>
        <w:tc>
          <w:tcPr>
            <w:tcW w:w="1775" w:type="dxa"/>
            <w:tcBorders>
              <w:bottom w:val="single" w:sz="8" w:space="0" w:color="000000"/>
            </w:tcBorders>
            <w:vAlign w:val="center"/>
          </w:tcPr>
          <w:p>
            <w:pPr>
              <w:pStyle w:val="TableContents"/>
              <w:bidi w:val="0"/>
              <w:spacing w:before="0" w:after="283"/>
              <w:jc w:val="center"/>
              <w:rPr>
                <w:b/>
                <w:sz w:val="20"/>
              </w:rPr>
            </w:pPr>
            <w:r>
              <w:rPr>
                <w:b/>
                <w:sz w:val="20"/>
              </w:rPr>
              <w:t>From 4 to 12 months</w:t>
            </w:r>
          </w:p>
        </w:tc>
        <w:tc>
          <w:tcPr>
            <w:tcW w:w="1490" w:type="dxa"/>
            <w:tcBorders>
              <w:bottom w:val="single" w:sz="8" w:space="0" w:color="000000"/>
            </w:tcBorders>
            <w:vAlign w:val="center"/>
          </w:tcPr>
          <w:p>
            <w:pPr>
              <w:pStyle w:val="TableContents"/>
              <w:bidi w:val="0"/>
              <w:spacing w:before="0" w:after="283"/>
              <w:jc w:val="center"/>
              <w:rPr>
                <w:b/>
                <w:sz w:val="20"/>
              </w:rPr>
            </w:pPr>
            <w:r>
              <w:rPr>
                <w:b/>
                <w:sz w:val="20"/>
              </w:rPr>
              <w:t>Above 12 months</w:t>
            </w:r>
          </w:p>
        </w:tc>
      </w:tr>
      <w:tr>
        <w:trPr/>
        <w:tc>
          <w:tcPr>
            <w:tcW w:w="2030" w:type="dxa"/>
            <w:tcBorders/>
            <w:tcMar>
              <w:bottom w:w="0" w:type="dxa"/>
            </w:tcMar>
            <w:vAlign w:val="center"/>
          </w:tcPr>
          <w:p>
            <w:pPr>
              <w:pStyle w:val="TableContents"/>
              <w:bidi w:val="0"/>
              <w:spacing w:before="0" w:after="283"/>
              <w:jc w:val="left"/>
              <w:rPr>
                <w:b/>
                <w:sz w:val="20"/>
              </w:rPr>
            </w:pPr>
            <w:r>
              <w:rPr>
                <w:b/>
                <w:sz w:val="20"/>
              </w:rPr>
              <w:t>Assets</w:t>
            </w:r>
          </w:p>
        </w:tc>
        <w:tc>
          <w:tcPr>
            <w:tcW w:w="755"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pPr>
            <w:r>
              <w:rPr/>
              <w:t> </w:t>
            </w:r>
          </w:p>
        </w:tc>
      </w:tr>
      <w:tr>
        <w:trPr/>
        <w:tc>
          <w:tcPr>
            <w:tcW w:w="2030" w:type="dxa"/>
            <w:tcBorders/>
            <w:shd w:fill="D5EAEA" w:val="clear"/>
            <w:tcMar>
              <w:bottom w:w="0" w:type="dxa"/>
            </w:tcMar>
            <w:vAlign w:val="center"/>
          </w:tcPr>
          <w:p>
            <w:pPr>
              <w:pStyle w:val="TableContents"/>
              <w:bidi w:val="0"/>
              <w:spacing w:before="0" w:after="283"/>
              <w:jc w:val="left"/>
              <w:rPr>
                <w:sz w:val="20"/>
              </w:rPr>
            </w:pPr>
            <w:r>
              <w:rPr>
                <w:sz w:val="20"/>
              </w:rPr>
              <w:t>Energy trading contracts</w:t>
            </w:r>
          </w:p>
        </w:tc>
        <w:tc>
          <w:tcPr>
            <w:tcW w:w="755" w:type="dxa"/>
            <w:tcBorders/>
            <w:shd w:fill="D5EAEA" w:val="clear"/>
            <w:tcMar>
              <w:bottom w:w="0" w:type="dxa"/>
            </w:tcMar>
            <w:vAlign w:val="center"/>
          </w:tcPr>
          <w:p>
            <w:pPr>
              <w:pStyle w:val="TableContents"/>
              <w:bidi w:val="0"/>
              <w:spacing w:before="0" w:after="283"/>
              <w:jc w:val="right"/>
              <w:rPr>
                <w:sz w:val="20"/>
              </w:rPr>
            </w:pPr>
            <w:r>
              <w:rPr>
                <w:sz w:val="20"/>
              </w:rPr>
              <w:t>559,110</w:t>
            </w:r>
          </w:p>
        </w:tc>
        <w:tc>
          <w:tcPr>
            <w:tcW w:w="935" w:type="dxa"/>
            <w:tcBorders/>
            <w:shd w:fill="D5EAEA" w:val="clear"/>
            <w:tcMar>
              <w:bottom w:w="0" w:type="dxa"/>
            </w:tcMar>
            <w:vAlign w:val="center"/>
          </w:tcPr>
          <w:p>
            <w:pPr>
              <w:pStyle w:val="TableContents"/>
              <w:bidi w:val="0"/>
              <w:spacing w:before="0" w:after="283"/>
              <w:jc w:val="right"/>
              <w:rPr>
                <w:sz w:val="20"/>
              </w:rPr>
            </w:pPr>
            <w:r>
              <w:rPr>
                <w:sz w:val="20"/>
              </w:rPr>
              <w:t>132,877</w:t>
            </w:r>
          </w:p>
        </w:tc>
        <w:tc>
          <w:tcPr>
            <w:tcW w:w="530" w:type="dxa"/>
            <w:tcBorders/>
            <w:shd w:fill="D5EAEA" w:val="clear"/>
            <w:tcMar>
              <w:bottom w:w="0" w:type="dxa"/>
            </w:tcMar>
            <w:vAlign w:val="center"/>
          </w:tcPr>
          <w:p>
            <w:pPr>
              <w:pStyle w:val="TableContents"/>
              <w:bidi w:val="0"/>
              <w:spacing w:before="0" w:after="283"/>
              <w:jc w:val="right"/>
              <w:rPr>
                <w:sz w:val="20"/>
              </w:rPr>
            </w:pPr>
            <w:r>
              <w:rPr>
                <w:sz w:val="20"/>
              </w:rPr>
              <w:t>95%</w:t>
            </w:r>
          </w:p>
        </w:tc>
        <w:tc>
          <w:tcPr>
            <w:tcW w:w="1280" w:type="dxa"/>
            <w:tcBorders/>
            <w:shd w:fill="D5EAEA" w:val="clear"/>
            <w:tcMar>
              <w:bottom w:w="0" w:type="dxa"/>
            </w:tcMar>
            <w:vAlign w:val="center"/>
          </w:tcPr>
          <w:p>
            <w:pPr>
              <w:pStyle w:val="TableContents"/>
              <w:bidi w:val="0"/>
              <w:spacing w:before="0" w:after="283"/>
              <w:jc w:val="right"/>
              <w:rPr>
                <w:sz w:val="20"/>
              </w:rPr>
            </w:pPr>
            <w:r>
              <w:rPr>
                <w:sz w:val="20"/>
              </w:rPr>
              <w:t>40,630</w:t>
            </w:r>
          </w:p>
        </w:tc>
        <w:tc>
          <w:tcPr>
            <w:tcW w:w="1775" w:type="dxa"/>
            <w:tcBorders/>
            <w:shd w:fill="D5EAEA" w:val="clear"/>
            <w:tcMar>
              <w:bottom w:w="0" w:type="dxa"/>
            </w:tcMar>
            <w:vAlign w:val="center"/>
          </w:tcPr>
          <w:p>
            <w:pPr>
              <w:pStyle w:val="TableContents"/>
              <w:bidi w:val="0"/>
              <w:spacing w:before="0" w:after="283"/>
              <w:jc w:val="right"/>
              <w:rPr>
                <w:sz w:val="20"/>
              </w:rPr>
            </w:pPr>
            <w:r>
              <w:rPr>
                <w:sz w:val="20"/>
              </w:rPr>
              <w:t>53,833</w:t>
            </w:r>
          </w:p>
        </w:tc>
        <w:tc>
          <w:tcPr>
            <w:tcW w:w="1490" w:type="dxa"/>
            <w:tcBorders/>
            <w:shd w:fill="D5EAEA" w:val="clear"/>
            <w:tcMar>
              <w:bottom w:w="0" w:type="dxa"/>
            </w:tcMar>
            <w:vAlign w:val="center"/>
          </w:tcPr>
          <w:p>
            <w:pPr>
              <w:pStyle w:val="TableContents"/>
              <w:bidi w:val="0"/>
              <w:spacing w:before="0" w:after="283"/>
              <w:jc w:val="right"/>
              <w:rPr>
                <w:sz w:val="20"/>
              </w:rPr>
            </w:pPr>
            <w:r>
              <w:rPr>
                <w:sz w:val="20"/>
              </w:rPr>
              <w:t>38,414</w:t>
            </w:r>
          </w:p>
        </w:tc>
      </w:tr>
      <w:tr>
        <w:trPr/>
        <w:tc>
          <w:tcPr>
            <w:tcW w:w="2030" w:type="dxa"/>
            <w:tcBorders/>
            <w:shd w:fill="FFFFFF" w:val="clear"/>
            <w:tcMar>
              <w:bottom w:w="0" w:type="dxa"/>
            </w:tcMar>
            <w:vAlign w:val="center"/>
          </w:tcPr>
          <w:p>
            <w:pPr>
              <w:pStyle w:val="TableContents"/>
              <w:bidi w:val="0"/>
              <w:spacing w:before="0" w:after="283"/>
              <w:jc w:val="left"/>
              <w:rPr>
                <w:sz w:val="20"/>
              </w:rPr>
            </w:pPr>
            <w:r>
              <w:rPr>
                <w:sz w:val="20"/>
              </w:rPr>
              <w:t>Tria call option (a)</w:t>
            </w:r>
          </w:p>
        </w:tc>
        <w:tc>
          <w:tcPr>
            <w:tcW w:w="755" w:type="dxa"/>
            <w:tcBorders/>
            <w:shd w:fill="FFFFFF" w:val="clear"/>
            <w:tcMar>
              <w:bottom w:w="0" w:type="dxa"/>
            </w:tcMar>
            <w:vAlign w:val="center"/>
          </w:tcPr>
          <w:p>
            <w:pPr>
              <w:pStyle w:val="TableContents"/>
              <w:bidi w:val="0"/>
              <w:spacing w:before="0" w:after="283"/>
              <w:jc w:val="right"/>
              <w:rPr>
                <w:sz w:val="20"/>
              </w:rPr>
            </w:pPr>
            <w:r>
              <w:rPr>
                <w:sz w:val="20"/>
              </w:rPr>
              <w:t>53,397</w:t>
            </w:r>
          </w:p>
        </w:tc>
        <w:tc>
          <w:tcPr>
            <w:tcW w:w="935" w:type="dxa"/>
            <w:tcBorders/>
            <w:shd w:fill="FFFFFF" w:val="clear"/>
            <w:tcMar>
              <w:bottom w:w="0" w:type="dxa"/>
            </w:tcMar>
            <w:vAlign w:val="center"/>
          </w:tcPr>
          <w:p>
            <w:pPr>
              <w:pStyle w:val="TableContents"/>
              <w:bidi w:val="0"/>
              <w:spacing w:before="0" w:after="283"/>
              <w:jc w:val="right"/>
              <w:rPr>
                <w:sz w:val="20"/>
              </w:rPr>
            </w:pPr>
            <w:r>
              <w:rPr>
                <w:sz w:val="20"/>
              </w:rPr>
              <w:t>6,773</w:t>
            </w:r>
          </w:p>
        </w:tc>
        <w:tc>
          <w:tcPr>
            <w:tcW w:w="530" w:type="dxa"/>
            <w:tcBorders/>
            <w:shd w:fill="FFFFFF" w:val="clear"/>
            <w:tcMar>
              <w:bottom w:w="0" w:type="dxa"/>
            </w:tcMar>
            <w:vAlign w:val="center"/>
          </w:tcPr>
          <w:p>
            <w:pPr>
              <w:pStyle w:val="TableContents"/>
              <w:bidi w:val="0"/>
              <w:spacing w:before="0" w:after="283"/>
              <w:jc w:val="right"/>
              <w:rPr>
                <w:sz w:val="20"/>
              </w:rPr>
            </w:pPr>
            <w:r>
              <w:rPr>
                <w:sz w:val="20"/>
              </w:rPr>
              <w:t>5%</w:t>
            </w:r>
          </w:p>
        </w:tc>
        <w:tc>
          <w:tcPr>
            <w:tcW w:w="1280" w:type="dxa"/>
            <w:tcBorders/>
            <w:shd w:fill="FFFFFF" w:val="clear"/>
            <w:tcMar>
              <w:bottom w:w="0" w:type="dxa"/>
            </w:tcMar>
            <w:vAlign w:val="center"/>
          </w:tcPr>
          <w:p>
            <w:pPr>
              <w:pStyle w:val="TableContents"/>
              <w:bidi w:val="0"/>
              <w:spacing w:before="0" w:after="283"/>
              <w:jc w:val="right"/>
              <w:rPr>
                <w:sz w:val="20"/>
              </w:rPr>
            </w:pPr>
            <w:r>
              <w:rPr>
                <w:sz w:val="20"/>
              </w:rPr>
              <w:t>-</w:t>
            </w:r>
          </w:p>
        </w:tc>
        <w:tc>
          <w:tcPr>
            <w:tcW w:w="1775" w:type="dxa"/>
            <w:tcBorders/>
            <w:shd w:fill="FFFFFF" w:val="clear"/>
            <w:tcMar>
              <w:bottom w:w="0" w:type="dxa"/>
            </w:tcMar>
            <w:vAlign w:val="center"/>
          </w:tcPr>
          <w:p>
            <w:pPr>
              <w:pStyle w:val="TableContents"/>
              <w:bidi w:val="0"/>
              <w:spacing w:before="0" w:after="283"/>
              <w:jc w:val="right"/>
              <w:rPr>
                <w:sz w:val="20"/>
              </w:rPr>
            </w:pPr>
            <w:r>
              <w:rPr>
                <w:sz w:val="20"/>
              </w:rPr>
              <w:t>-</w:t>
            </w:r>
          </w:p>
        </w:tc>
        <w:tc>
          <w:tcPr>
            <w:tcW w:w="1490" w:type="dxa"/>
            <w:tcBorders/>
            <w:shd w:fill="FFFFFF" w:val="clear"/>
            <w:tcMar>
              <w:bottom w:w="0" w:type="dxa"/>
            </w:tcMar>
            <w:vAlign w:val="center"/>
          </w:tcPr>
          <w:p>
            <w:pPr>
              <w:pStyle w:val="TableContents"/>
              <w:bidi w:val="0"/>
              <w:spacing w:before="0" w:after="283"/>
              <w:jc w:val="right"/>
              <w:rPr>
                <w:sz w:val="20"/>
              </w:rPr>
            </w:pPr>
            <w:r>
              <w:rPr>
                <w:sz w:val="20"/>
              </w:rPr>
              <w:t>6,773</w:t>
            </w:r>
          </w:p>
        </w:tc>
      </w:tr>
      <w:tr>
        <w:trPr/>
        <w:tc>
          <w:tcPr>
            <w:tcW w:w="2030" w:type="dxa"/>
            <w:tcBorders/>
            <w:shd w:fill="D5EAEA" w:val="clear"/>
            <w:tcMar>
              <w:bottom w:w="0" w:type="dxa"/>
            </w:tcMar>
            <w:vAlign w:val="center"/>
          </w:tcPr>
          <w:p>
            <w:pPr>
              <w:pStyle w:val="TableContents"/>
              <w:bidi w:val="0"/>
              <w:spacing w:before="0" w:after="283"/>
              <w:jc w:val="left"/>
              <w:rPr>
                <w:b/>
                <w:sz w:val="20"/>
              </w:rPr>
            </w:pPr>
            <w:r>
              <w:rPr>
                <w:b/>
                <w:sz w:val="20"/>
              </w:rPr>
              <w:t>Total</w:t>
            </w:r>
          </w:p>
        </w:tc>
        <w:tc>
          <w:tcPr>
            <w:tcW w:w="755"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612,507</w:t>
            </w:r>
          </w:p>
        </w:tc>
        <w:tc>
          <w:tcPr>
            <w:tcW w:w="935"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139,650</w:t>
            </w:r>
          </w:p>
        </w:tc>
        <w:tc>
          <w:tcPr>
            <w:tcW w:w="530"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100%</w:t>
            </w:r>
          </w:p>
        </w:tc>
        <w:tc>
          <w:tcPr>
            <w:tcW w:w="1280"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40,630</w:t>
            </w:r>
          </w:p>
        </w:tc>
        <w:tc>
          <w:tcPr>
            <w:tcW w:w="1775"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53,833</w:t>
            </w:r>
          </w:p>
        </w:tc>
        <w:tc>
          <w:tcPr>
            <w:tcW w:w="1490"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45,187</w:t>
            </w:r>
          </w:p>
        </w:tc>
      </w:tr>
      <w:tr>
        <w:trPr/>
        <w:tc>
          <w:tcPr>
            <w:tcW w:w="203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5EAEA" w:val="clear"/>
            <w:tcMar>
              <w:bottom w:w="0" w:type="dxa"/>
            </w:tcMar>
            <w:vAlign w:val="center"/>
          </w:tcPr>
          <w:p>
            <w:pPr>
              <w:pStyle w:val="TableContents"/>
              <w:bidi w:val="0"/>
              <w:spacing w:before="0" w:after="283"/>
              <w:jc w:val="left"/>
              <w:rPr>
                <w:b/>
                <w:sz w:val="20"/>
              </w:rPr>
            </w:pPr>
            <w:r>
              <w:rPr>
                <w:b/>
                <w:sz w:val="20"/>
              </w:rPr>
              <w:t>Liabilities</w:t>
            </w:r>
          </w:p>
        </w:tc>
        <w:tc>
          <w:tcPr>
            <w:tcW w:w="755" w:type="dxa"/>
            <w:tcBorders/>
            <w:shd w:fill="D5EAEA" w:val="clear"/>
            <w:tcMar>
              <w:bottom w:w="0" w:type="dxa"/>
            </w:tcMar>
            <w:vAlign w:val="center"/>
          </w:tcPr>
          <w:p>
            <w:pPr>
              <w:pStyle w:val="TableContents"/>
              <w:bidi w:val="0"/>
              <w:spacing w:before="0" w:after="283"/>
              <w:jc w:val="left"/>
              <w:rPr/>
            </w:pPr>
            <w:r>
              <w:rPr/>
              <w:t> </w:t>
            </w:r>
          </w:p>
        </w:tc>
        <w:tc>
          <w:tcPr>
            <w:tcW w:w="935" w:type="dxa"/>
            <w:tcBorders/>
            <w:shd w:fill="D5EAEA" w:val="clear"/>
            <w:tcMar>
              <w:bottom w:w="0" w:type="dxa"/>
            </w:tcMar>
            <w:vAlign w:val="center"/>
          </w:tcPr>
          <w:p>
            <w:pPr>
              <w:pStyle w:val="TableContents"/>
              <w:bidi w:val="0"/>
              <w:spacing w:before="0" w:after="283"/>
              <w:jc w:val="left"/>
              <w:rPr/>
            </w:pPr>
            <w:r>
              <w:rPr/>
              <w:t> </w:t>
            </w:r>
          </w:p>
        </w:tc>
        <w:tc>
          <w:tcPr>
            <w:tcW w:w="530" w:type="dxa"/>
            <w:tcBorders/>
            <w:shd w:fill="D5EAEA" w:val="clear"/>
            <w:tcMar>
              <w:bottom w:w="0" w:type="dxa"/>
            </w:tcMar>
            <w:vAlign w:val="center"/>
          </w:tcPr>
          <w:p>
            <w:pPr>
              <w:pStyle w:val="TableContents"/>
              <w:bidi w:val="0"/>
              <w:spacing w:before="0" w:after="283"/>
              <w:jc w:val="left"/>
              <w:rPr/>
            </w:pPr>
            <w:r>
              <w:rPr/>
              <w:t> </w:t>
            </w:r>
          </w:p>
        </w:tc>
        <w:tc>
          <w:tcPr>
            <w:tcW w:w="1280" w:type="dxa"/>
            <w:tcBorders/>
            <w:shd w:fill="D5EAEA" w:val="clear"/>
            <w:tcMar>
              <w:bottom w:w="0" w:type="dxa"/>
            </w:tcMar>
            <w:vAlign w:val="center"/>
          </w:tcPr>
          <w:p>
            <w:pPr>
              <w:pStyle w:val="TableContents"/>
              <w:bidi w:val="0"/>
              <w:spacing w:before="0" w:after="283"/>
              <w:jc w:val="left"/>
              <w:rPr/>
            </w:pPr>
            <w:r>
              <w:rPr/>
              <w:t> </w:t>
            </w:r>
          </w:p>
        </w:tc>
        <w:tc>
          <w:tcPr>
            <w:tcW w:w="1775" w:type="dxa"/>
            <w:tcBorders/>
            <w:shd w:fill="D5EAEA" w:val="clear"/>
            <w:tcMar>
              <w:bottom w:w="0" w:type="dxa"/>
            </w:tcMar>
            <w:vAlign w:val="center"/>
          </w:tcPr>
          <w:p>
            <w:pPr>
              <w:pStyle w:val="TableContents"/>
              <w:bidi w:val="0"/>
              <w:spacing w:before="0" w:after="283"/>
              <w:jc w:val="left"/>
              <w:rPr/>
            </w:pPr>
            <w:r>
              <w:rPr/>
              <w:t> </w:t>
            </w:r>
          </w:p>
        </w:tc>
        <w:tc>
          <w:tcPr>
            <w:tcW w:w="1490" w:type="dxa"/>
            <w:tcBorders/>
            <w:shd w:fill="D5EAEA"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sz w:val="20"/>
              </w:rPr>
            </w:pPr>
            <w:r>
              <w:rPr>
                <w:sz w:val="20"/>
              </w:rPr>
              <w:t>Energy trading contracts</w:t>
            </w:r>
          </w:p>
        </w:tc>
        <w:tc>
          <w:tcPr>
            <w:tcW w:w="755" w:type="dxa"/>
            <w:tcBorders/>
            <w:shd w:fill="FFFFFF" w:val="clear"/>
            <w:tcMar>
              <w:bottom w:w="0" w:type="dxa"/>
            </w:tcMar>
            <w:vAlign w:val="center"/>
          </w:tcPr>
          <w:p>
            <w:pPr>
              <w:pStyle w:val="TableContents"/>
              <w:bidi w:val="0"/>
              <w:spacing w:before="0" w:after="283"/>
              <w:jc w:val="right"/>
              <w:rPr>
                <w:sz w:val="20"/>
              </w:rPr>
            </w:pPr>
            <w:r>
              <w:rPr>
                <w:sz w:val="20"/>
              </w:rPr>
              <w:t>683,662</w:t>
            </w:r>
          </w:p>
        </w:tc>
        <w:tc>
          <w:tcPr>
            <w:tcW w:w="935" w:type="dxa"/>
            <w:tcBorders/>
            <w:shd w:fill="FFFFFF" w:val="clear"/>
            <w:tcMar>
              <w:bottom w:w="0" w:type="dxa"/>
            </w:tcMar>
            <w:vAlign w:val="center"/>
          </w:tcPr>
          <w:p>
            <w:pPr>
              <w:pStyle w:val="TableContents"/>
              <w:bidi w:val="0"/>
              <w:spacing w:before="0" w:after="283"/>
              <w:jc w:val="right"/>
              <w:rPr>
                <w:sz w:val="20"/>
              </w:rPr>
            </w:pPr>
            <w:r>
              <w:rPr>
                <w:sz w:val="20"/>
              </w:rPr>
              <w:t>105,662</w:t>
            </w:r>
          </w:p>
        </w:tc>
        <w:tc>
          <w:tcPr>
            <w:tcW w:w="530" w:type="dxa"/>
            <w:tcBorders/>
            <w:shd w:fill="FFFFFF" w:val="clear"/>
            <w:tcMar>
              <w:bottom w:w="0" w:type="dxa"/>
            </w:tcMar>
            <w:vAlign w:val="center"/>
          </w:tcPr>
          <w:p>
            <w:pPr>
              <w:pStyle w:val="TableContents"/>
              <w:bidi w:val="0"/>
              <w:spacing w:before="0" w:after="283"/>
              <w:jc w:val="right"/>
              <w:rPr>
                <w:sz w:val="20"/>
              </w:rPr>
            </w:pPr>
            <w:r>
              <w:rPr>
                <w:sz w:val="20"/>
              </w:rPr>
              <w:t>95%</w:t>
            </w:r>
          </w:p>
        </w:tc>
        <w:tc>
          <w:tcPr>
            <w:tcW w:w="1280" w:type="dxa"/>
            <w:tcBorders/>
            <w:shd w:fill="FFFFFF" w:val="clear"/>
            <w:tcMar>
              <w:bottom w:w="0" w:type="dxa"/>
            </w:tcMar>
            <w:vAlign w:val="center"/>
          </w:tcPr>
          <w:p>
            <w:pPr>
              <w:pStyle w:val="TableContents"/>
              <w:bidi w:val="0"/>
              <w:spacing w:before="0" w:after="283"/>
              <w:jc w:val="right"/>
              <w:rPr>
                <w:sz w:val="20"/>
              </w:rPr>
            </w:pPr>
            <w:r>
              <w:rPr>
                <w:sz w:val="20"/>
              </w:rPr>
              <w:t>30,781</w:t>
            </w:r>
          </w:p>
        </w:tc>
        <w:tc>
          <w:tcPr>
            <w:tcW w:w="1775" w:type="dxa"/>
            <w:tcBorders/>
            <w:shd w:fill="FFFFFF" w:val="clear"/>
            <w:tcMar>
              <w:bottom w:w="0" w:type="dxa"/>
            </w:tcMar>
            <w:vAlign w:val="center"/>
          </w:tcPr>
          <w:p>
            <w:pPr>
              <w:pStyle w:val="TableContents"/>
              <w:bidi w:val="0"/>
              <w:spacing w:before="0" w:after="283"/>
              <w:jc w:val="right"/>
              <w:rPr>
                <w:sz w:val="20"/>
              </w:rPr>
            </w:pPr>
            <w:r>
              <w:rPr>
                <w:sz w:val="20"/>
              </w:rPr>
              <w:t>40,833</w:t>
            </w:r>
          </w:p>
        </w:tc>
        <w:tc>
          <w:tcPr>
            <w:tcW w:w="1490" w:type="dxa"/>
            <w:tcBorders/>
            <w:shd w:fill="FFFFFF" w:val="clear"/>
            <w:tcMar>
              <w:bottom w:w="0" w:type="dxa"/>
            </w:tcMar>
            <w:vAlign w:val="center"/>
          </w:tcPr>
          <w:p>
            <w:pPr>
              <w:pStyle w:val="TableContents"/>
              <w:bidi w:val="0"/>
              <w:spacing w:before="0" w:after="283"/>
              <w:jc w:val="right"/>
              <w:rPr>
                <w:sz w:val="20"/>
              </w:rPr>
            </w:pPr>
            <w:r>
              <w:rPr>
                <w:sz w:val="20"/>
              </w:rPr>
              <w:t>34,048</w:t>
            </w:r>
          </w:p>
        </w:tc>
      </w:tr>
      <w:tr>
        <w:trPr/>
        <w:tc>
          <w:tcPr>
            <w:tcW w:w="2030" w:type="dxa"/>
            <w:tcBorders/>
            <w:shd w:fill="D5EAEA" w:val="clear"/>
            <w:tcMar>
              <w:bottom w:w="0" w:type="dxa"/>
            </w:tcMar>
            <w:vAlign w:val="center"/>
          </w:tcPr>
          <w:p>
            <w:pPr>
              <w:pStyle w:val="TableContents"/>
              <w:bidi w:val="0"/>
              <w:spacing w:before="0" w:after="283"/>
              <w:jc w:val="left"/>
              <w:rPr>
                <w:sz w:val="20"/>
              </w:rPr>
            </w:pPr>
            <w:r>
              <w:rPr>
                <w:sz w:val="20"/>
              </w:rPr>
              <w:t>Total return swap</w:t>
            </w:r>
          </w:p>
        </w:tc>
        <w:tc>
          <w:tcPr>
            <w:tcW w:w="755" w:type="dxa"/>
            <w:tcBorders/>
            <w:shd w:fill="D5EAEA" w:val="clear"/>
            <w:tcMar>
              <w:bottom w:w="0" w:type="dxa"/>
            </w:tcMar>
            <w:vAlign w:val="center"/>
          </w:tcPr>
          <w:p>
            <w:pPr>
              <w:pStyle w:val="TableContents"/>
              <w:bidi w:val="0"/>
              <w:spacing w:before="0" w:after="283"/>
              <w:jc w:val="right"/>
              <w:rPr>
                <w:sz w:val="20"/>
              </w:rPr>
            </w:pPr>
            <w:r>
              <w:rPr>
                <w:sz w:val="20"/>
              </w:rPr>
              <w:t>36,891</w:t>
            </w:r>
          </w:p>
        </w:tc>
        <w:tc>
          <w:tcPr>
            <w:tcW w:w="935" w:type="dxa"/>
            <w:tcBorders/>
            <w:shd w:fill="D5EAEA" w:val="clear"/>
            <w:tcMar>
              <w:bottom w:w="0" w:type="dxa"/>
            </w:tcMar>
            <w:vAlign w:val="center"/>
          </w:tcPr>
          <w:p>
            <w:pPr>
              <w:pStyle w:val="TableContents"/>
              <w:bidi w:val="0"/>
              <w:spacing w:before="0" w:after="283"/>
              <w:jc w:val="right"/>
              <w:rPr>
                <w:sz w:val="20"/>
              </w:rPr>
            </w:pPr>
            <w:r>
              <w:rPr>
                <w:sz w:val="20"/>
              </w:rPr>
              <w:t>5,388</w:t>
            </w:r>
          </w:p>
        </w:tc>
        <w:tc>
          <w:tcPr>
            <w:tcW w:w="530" w:type="dxa"/>
            <w:tcBorders/>
            <w:shd w:fill="D5EAEA" w:val="clear"/>
            <w:tcMar>
              <w:bottom w:w="0" w:type="dxa"/>
            </w:tcMar>
            <w:vAlign w:val="center"/>
          </w:tcPr>
          <w:p>
            <w:pPr>
              <w:pStyle w:val="TableContents"/>
              <w:bidi w:val="0"/>
              <w:spacing w:before="0" w:after="283"/>
              <w:jc w:val="right"/>
              <w:rPr>
                <w:sz w:val="20"/>
              </w:rPr>
            </w:pPr>
            <w:r>
              <w:rPr>
                <w:sz w:val="20"/>
              </w:rPr>
              <w:t>5%</w:t>
            </w:r>
          </w:p>
        </w:tc>
        <w:tc>
          <w:tcPr>
            <w:tcW w:w="1280" w:type="dxa"/>
            <w:tcBorders/>
            <w:shd w:fill="D5EAEA" w:val="clear"/>
            <w:tcMar>
              <w:bottom w:w="0" w:type="dxa"/>
            </w:tcMar>
            <w:vAlign w:val="center"/>
          </w:tcPr>
          <w:p>
            <w:pPr>
              <w:pStyle w:val="TableContents"/>
              <w:bidi w:val="0"/>
              <w:spacing w:before="0" w:after="283"/>
              <w:jc w:val="right"/>
              <w:rPr>
                <w:sz w:val="20"/>
              </w:rPr>
            </w:pPr>
            <w:r>
              <w:rPr>
                <w:sz w:val="20"/>
              </w:rPr>
              <w:t>2,083</w:t>
            </w:r>
          </w:p>
        </w:tc>
        <w:tc>
          <w:tcPr>
            <w:tcW w:w="1775" w:type="dxa"/>
            <w:tcBorders/>
            <w:shd w:fill="D5EAEA" w:val="clear"/>
            <w:tcMar>
              <w:bottom w:w="0" w:type="dxa"/>
            </w:tcMar>
            <w:vAlign w:val="center"/>
          </w:tcPr>
          <w:p>
            <w:pPr>
              <w:pStyle w:val="TableContents"/>
              <w:bidi w:val="0"/>
              <w:spacing w:before="0" w:after="283"/>
              <w:jc w:val="right"/>
              <w:rPr>
                <w:sz w:val="20"/>
              </w:rPr>
            </w:pPr>
            <w:r>
              <w:rPr>
                <w:sz w:val="20"/>
              </w:rPr>
              <w:t>3,305</w:t>
            </w:r>
          </w:p>
        </w:tc>
        <w:tc>
          <w:tcPr>
            <w:tcW w:w="1490" w:type="dxa"/>
            <w:tcBorders/>
            <w:shd w:fill="D5EAEA" w:val="clear"/>
            <w:tcMar>
              <w:bottom w:w="0" w:type="dxa"/>
            </w:tcMar>
            <w:vAlign w:val="center"/>
          </w:tcPr>
          <w:p>
            <w:pPr>
              <w:pStyle w:val="TableContents"/>
              <w:bidi w:val="0"/>
              <w:spacing w:before="0" w:after="283"/>
              <w:jc w:val="right"/>
              <w:rPr>
                <w:sz w:val="20"/>
              </w:rPr>
            </w:pPr>
            <w:r>
              <w:rPr>
                <w:sz w:val="20"/>
              </w:rPr>
              <w:t>-</w:t>
            </w:r>
          </w:p>
        </w:tc>
      </w:tr>
      <w:tr>
        <w:trPr/>
        <w:tc>
          <w:tcPr>
            <w:tcW w:w="2030" w:type="dxa"/>
            <w:tcBorders/>
            <w:shd w:fill="FFFFFF" w:val="clear"/>
            <w:tcMar>
              <w:bottom w:w="0" w:type="dxa"/>
            </w:tcMar>
            <w:vAlign w:val="center"/>
          </w:tcPr>
          <w:p>
            <w:pPr>
              <w:pStyle w:val="TableContents"/>
              <w:bidi w:val="0"/>
              <w:spacing w:before="0" w:after="283"/>
              <w:jc w:val="left"/>
              <w:rPr>
                <w:b/>
                <w:sz w:val="20"/>
              </w:rPr>
            </w:pPr>
            <w:r>
              <w:rPr>
                <w:b/>
                <w:sz w:val="20"/>
              </w:rPr>
              <w:t>Total</w:t>
            </w:r>
          </w:p>
        </w:tc>
        <w:tc>
          <w:tcPr>
            <w:tcW w:w="755" w:type="dxa"/>
            <w:tcBorders>
              <w:top w:val="single" w:sz="8" w:space="0" w:color="000000"/>
              <w:bottom w:val="double" w:sz="4" w:space="0" w:color="000000"/>
            </w:tcBorders>
            <w:shd w:fill="FFFFFF" w:val="clear"/>
            <w:tcMar>
              <w:top w:w="28" w:type="dxa"/>
            </w:tcMar>
            <w:vAlign w:val="center"/>
          </w:tcPr>
          <w:p>
            <w:pPr>
              <w:pStyle w:val="TableContents"/>
              <w:bidi w:val="0"/>
              <w:spacing w:before="0" w:after="283"/>
              <w:jc w:val="right"/>
              <w:rPr>
                <w:b/>
                <w:sz w:val="20"/>
              </w:rPr>
            </w:pPr>
            <w:r>
              <w:rPr>
                <w:b/>
                <w:sz w:val="20"/>
              </w:rPr>
              <w:t>720,553</w:t>
            </w:r>
          </w:p>
        </w:tc>
        <w:tc>
          <w:tcPr>
            <w:tcW w:w="935" w:type="dxa"/>
            <w:tcBorders>
              <w:top w:val="single" w:sz="8" w:space="0" w:color="000000"/>
              <w:bottom w:val="double" w:sz="4" w:space="0" w:color="000000"/>
            </w:tcBorders>
            <w:shd w:fill="FFFFFF" w:val="clear"/>
            <w:tcMar>
              <w:top w:w="28" w:type="dxa"/>
            </w:tcMar>
            <w:vAlign w:val="center"/>
          </w:tcPr>
          <w:p>
            <w:pPr>
              <w:pStyle w:val="TableContents"/>
              <w:bidi w:val="0"/>
              <w:spacing w:before="0" w:after="283"/>
              <w:jc w:val="right"/>
              <w:rPr>
                <w:b/>
                <w:sz w:val="20"/>
              </w:rPr>
            </w:pPr>
            <w:r>
              <w:rPr>
                <w:b/>
                <w:sz w:val="20"/>
              </w:rPr>
              <w:t>111,050</w:t>
            </w:r>
          </w:p>
        </w:tc>
        <w:tc>
          <w:tcPr>
            <w:tcW w:w="530" w:type="dxa"/>
            <w:tcBorders>
              <w:top w:val="single" w:sz="8" w:space="0" w:color="000000"/>
              <w:bottom w:val="double" w:sz="4" w:space="0" w:color="000000"/>
            </w:tcBorders>
            <w:shd w:fill="FFFFFF" w:val="clear"/>
            <w:tcMar>
              <w:top w:w="28" w:type="dxa"/>
            </w:tcMar>
            <w:vAlign w:val="center"/>
          </w:tcPr>
          <w:p>
            <w:pPr>
              <w:pStyle w:val="TableContents"/>
              <w:bidi w:val="0"/>
              <w:spacing w:before="0" w:after="283"/>
              <w:jc w:val="right"/>
              <w:rPr>
                <w:b/>
                <w:sz w:val="20"/>
              </w:rPr>
            </w:pPr>
            <w:r>
              <w:rPr>
                <w:b/>
                <w:sz w:val="20"/>
              </w:rPr>
              <w:t>100%</w:t>
            </w:r>
          </w:p>
        </w:tc>
        <w:tc>
          <w:tcPr>
            <w:tcW w:w="1280" w:type="dxa"/>
            <w:tcBorders>
              <w:top w:val="single" w:sz="8" w:space="0" w:color="000000"/>
              <w:bottom w:val="double" w:sz="4" w:space="0" w:color="000000"/>
            </w:tcBorders>
            <w:shd w:fill="FFFFFF" w:val="clear"/>
            <w:tcMar>
              <w:top w:w="28" w:type="dxa"/>
            </w:tcMar>
            <w:vAlign w:val="center"/>
          </w:tcPr>
          <w:p>
            <w:pPr>
              <w:pStyle w:val="TableContents"/>
              <w:bidi w:val="0"/>
              <w:spacing w:before="0" w:after="283"/>
              <w:jc w:val="right"/>
              <w:rPr>
                <w:b/>
                <w:sz w:val="20"/>
              </w:rPr>
            </w:pPr>
            <w:r>
              <w:rPr>
                <w:b/>
                <w:sz w:val="20"/>
              </w:rPr>
              <w:t>32,864</w:t>
            </w:r>
          </w:p>
        </w:tc>
        <w:tc>
          <w:tcPr>
            <w:tcW w:w="1775" w:type="dxa"/>
            <w:tcBorders>
              <w:top w:val="single" w:sz="8" w:space="0" w:color="000000"/>
              <w:bottom w:val="double" w:sz="4" w:space="0" w:color="000000"/>
            </w:tcBorders>
            <w:shd w:fill="FFFFFF" w:val="clear"/>
            <w:tcMar>
              <w:top w:w="28" w:type="dxa"/>
            </w:tcMar>
            <w:vAlign w:val="center"/>
          </w:tcPr>
          <w:p>
            <w:pPr>
              <w:pStyle w:val="TableContents"/>
              <w:bidi w:val="0"/>
              <w:spacing w:before="0" w:after="283"/>
              <w:jc w:val="right"/>
              <w:rPr>
                <w:b/>
                <w:sz w:val="20"/>
              </w:rPr>
            </w:pPr>
            <w:r>
              <w:rPr>
                <w:b/>
                <w:sz w:val="20"/>
              </w:rPr>
              <w:t>44,138</w:t>
            </w:r>
          </w:p>
        </w:tc>
        <w:tc>
          <w:tcPr>
            <w:tcW w:w="1490" w:type="dxa"/>
            <w:tcBorders>
              <w:top w:val="single" w:sz="8" w:space="0" w:color="000000"/>
              <w:bottom w:val="double" w:sz="4" w:space="0" w:color="000000"/>
            </w:tcBorders>
            <w:shd w:fill="FFFFFF" w:val="clear"/>
            <w:tcMar>
              <w:top w:w="28" w:type="dxa"/>
            </w:tcMar>
            <w:vAlign w:val="center"/>
          </w:tcPr>
          <w:p>
            <w:pPr>
              <w:pStyle w:val="TableContents"/>
              <w:bidi w:val="0"/>
              <w:spacing w:before="0" w:after="283"/>
              <w:jc w:val="right"/>
              <w:rPr>
                <w:b/>
                <w:sz w:val="20"/>
              </w:rPr>
            </w:pPr>
            <w:r>
              <w:rPr>
                <w:b/>
                <w:sz w:val="20"/>
              </w:rPr>
              <w:t>34,048</w:t>
            </w:r>
          </w:p>
        </w:tc>
      </w:tr>
    </w:tbl>
    <w:p>
      <w:pPr>
        <w:pStyle w:val="TextBody"/>
        <w:bidi w:val="0"/>
        <w:spacing w:before="0" w:after="283"/>
        <w:jc w:val="left"/>
        <w:rPr/>
      </w:pPr>
      <w:r>
        <w:rPr/>
        <w:t> </w:t>
      </w:r>
    </w:p>
    <w:tbl>
      <w:tblPr>
        <w:tblW w:w="8600" w:type="dxa"/>
        <w:jc w:val="left"/>
        <w:tblInd w:w="0" w:type="dxa"/>
        <w:tblLayout w:type="fixed"/>
        <w:tblCellMar>
          <w:top w:w="0" w:type="dxa"/>
          <w:left w:w="0" w:type="dxa"/>
          <w:bottom w:w="28" w:type="dxa"/>
          <w:right w:w="0" w:type="dxa"/>
        </w:tblCellMar>
      </w:tblPr>
      <w:tblGrid>
        <w:gridCol w:w="2030"/>
        <w:gridCol w:w="755"/>
        <w:gridCol w:w="935"/>
        <w:gridCol w:w="335"/>
        <w:gridCol w:w="1280"/>
        <w:gridCol w:w="1775"/>
        <w:gridCol w:w="1490"/>
      </w:tblGrid>
      <w:tr>
        <w:trPr/>
        <w:tc>
          <w:tcPr>
            <w:tcW w:w="2030" w:type="dxa"/>
            <w:vMerge w:val="restart"/>
            <w:tcBorders>
              <w:bottom w:val="single" w:sz="8" w:space="0" w:color="000000"/>
            </w:tcBorders>
            <w:vAlign w:val="center"/>
          </w:tcPr>
          <w:p>
            <w:pPr>
              <w:pStyle w:val="TableContents"/>
              <w:bidi w:val="0"/>
              <w:spacing w:before="0" w:after="283"/>
              <w:jc w:val="left"/>
              <w:rPr>
                <w:b/>
                <w:sz w:val="20"/>
              </w:rPr>
            </w:pPr>
            <w:r>
              <w:rPr>
                <w:b/>
                <w:sz w:val="20"/>
              </w:rPr>
              <w:t>Financial instruments</w:t>
            </w:r>
          </w:p>
        </w:tc>
        <w:tc>
          <w:tcPr>
            <w:tcW w:w="6570" w:type="dxa"/>
            <w:gridSpan w:val="6"/>
            <w:tcBorders>
              <w:bottom w:val="single" w:sz="8" w:space="0" w:color="000000"/>
            </w:tcBorders>
            <w:vAlign w:val="center"/>
          </w:tcPr>
          <w:p>
            <w:pPr>
              <w:pStyle w:val="TableContents"/>
              <w:bidi w:val="0"/>
              <w:spacing w:before="0" w:after="283"/>
              <w:jc w:val="center"/>
              <w:rPr>
                <w:b/>
                <w:sz w:val="20"/>
              </w:rPr>
            </w:pPr>
            <w:r>
              <w:rPr>
                <w:b/>
                <w:sz w:val="20"/>
              </w:rPr>
              <w:t>December 31, 2025</w:t>
            </w:r>
          </w:p>
        </w:tc>
      </w:tr>
      <w:tr>
        <w:trPr/>
        <w:tc>
          <w:tcPr>
            <w:tcW w:w="2030" w:type="dxa"/>
            <w:vMerge w:val="continue"/>
            <w:tcBorders>
              <w:bottom w:val="single" w:sz="8" w:space="0" w:color="000000"/>
            </w:tcBorders>
            <w:vAlign w:val="center"/>
          </w:tcPr>
          <w:p>
            <w:pPr>
              <w:pStyle w:val="Normal"/>
              <w:bidi w:val="0"/>
              <w:jc w:val="left"/>
              <w:rPr/>
            </w:pPr>
            <w:r>
              <w:rPr/>
            </w:r>
          </w:p>
        </w:tc>
        <w:tc>
          <w:tcPr>
            <w:tcW w:w="755" w:type="dxa"/>
            <w:tcBorders>
              <w:bottom w:val="single" w:sz="8" w:space="0" w:color="000000"/>
            </w:tcBorders>
            <w:vAlign w:val="center"/>
          </w:tcPr>
          <w:p>
            <w:pPr>
              <w:pStyle w:val="TableContents"/>
              <w:bidi w:val="0"/>
              <w:spacing w:before="0" w:after="283"/>
              <w:jc w:val="center"/>
              <w:rPr>
                <w:b/>
                <w:sz w:val="20"/>
              </w:rPr>
            </w:pPr>
            <w:r>
              <w:rPr>
                <w:b/>
                <w:sz w:val="20"/>
              </w:rPr>
              <w:t>Notional</w:t>
            </w:r>
          </w:p>
        </w:tc>
        <w:tc>
          <w:tcPr>
            <w:tcW w:w="935" w:type="dxa"/>
            <w:tcBorders>
              <w:bottom w:val="single" w:sz="8" w:space="0" w:color="000000"/>
            </w:tcBorders>
            <w:vAlign w:val="center"/>
          </w:tcPr>
          <w:p>
            <w:pPr>
              <w:pStyle w:val="TableContents"/>
              <w:bidi w:val="0"/>
              <w:spacing w:before="0" w:after="283"/>
              <w:jc w:val="center"/>
              <w:rPr>
                <w:b/>
                <w:sz w:val="20"/>
              </w:rPr>
            </w:pPr>
            <w:r>
              <w:rPr>
                <w:b/>
                <w:sz w:val="20"/>
              </w:rPr>
              <w:t>Fair Value</w:t>
            </w:r>
          </w:p>
        </w:tc>
        <w:tc>
          <w:tcPr>
            <w:tcW w:w="335" w:type="dxa"/>
            <w:tcBorders>
              <w:bottom w:val="single" w:sz="8" w:space="0" w:color="000000"/>
            </w:tcBorders>
            <w:vAlign w:val="center"/>
          </w:tcPr>
          <w:p>
            <w:pPr>
              <w:pStyle w:val="TableContents"/>
              <w:bidi w:val="0"/>
              <w:spacing w:before="0" w:after="283"/>
              <w:jc w:val="center"/>
              <w:rPr>
                <w:b/>
                <w:sz w:val="20"/>
              </w:rPr>
            </w:pPr>
            <w:r>
              <w:rPr>
                <w:b/>
                <w:sz w:val="20"/>
              </w:rPr>
              <w:t>%</w:t>
            </w:r>
          </w:p>
        </w:tc>
        <w:tc>
          <w:tcPr>
            <w:tcW w:w="1280" w:type="dxa"/>
            <w:tcBorders>
              <w:bottom w:val="single" w:sz="8" w:space="0" w:color="000000"/>
            </w:tcBorders>
            <w:vAlign w:val="center"/>
          </w:tcPr>
          <w:p>
            <w:pPr>
              <w:pStyle w:val="TableContents"/>
              <w:bidi w:val="0"/>
              <w:spacing w:before="0" w:after="283"/>
              <w:jc w:val="center"/>
              <w:rPr>
                <w:b/>
                <w:sz w:val="20"/>
              </w:rPr>
            </w:pPr>
            <w:r>
              <w:rPr>
                <w:b/>
                <w:sz w:val="20"/>
              </w:rPr>
              <w:t>Up to 3 months</w:t>
            </w:r>
          </w:p>
        </w:tc>
        <w:tc>
          <w:tcPr>
            <w:tcW w:w="1775" w:type="dxa"/>
            <w:tcBorders>
              <w:bottom w:val="single" w:sz="8" w:space="0" w:color="000000"/>
            </w:tcBorders>
            <w:vAlign w:val="center"/>
          </w:tcPr>
          <w:p>
            <w:pPr>
              <w:pStyle w:val="TableContents"/>
              <w:bidi w:val="0"/>
              <w:spacing w:before="0" w:after="283"/>
              <w:jc w:val="center"/>
              <w:rPr>
                <w:b/>
                <w:sz w:val="20"/>
              </w:rPr>
            </w:pPr>
            <w:r>
              <w:rPr>
                <w:b/>
                <w:sz w:val="20"/>
              </w:rPr>
              <w:t>From 4 to 12 months</w:t>
            </w:r>
          </w:p>
        </w:tc>
        <w:tc>
          <w:tcPr>
            <w:tcW w:w="1490" w:type="dxa"/>
            <w:tcBorders>
              <w:bottom w:val="single" w:sz="8" w:space="0" w:color="000000"/>
            </w:tcBorders>
            <w:vAlign w:val="center"/>
          </w:tcPr>
          <w:p>
            <w:pPr>
              <w:pStyle w:val="TableContents"/>
              <w:bidi w:val="0"/>
              <w:spacing w:before="0" w:after="283"/>
              <w:jc w:val="center"/>
              <w:rPr>
                <w:b/>
                <w:sz w:val="20"/>
              </w:rPr>
            </w:pPr>
            <w:r>
              <w:rPr>
                <w:b/>
                <w:sz w:val="20"/>
              </w:rPr>
              <w:t>Above 12 months</w:t>
            </w:r>
          </w:p>
        </w:tc>
      </w:tr>
      <w:tr>
        <w:trPr/>
        <w:tc>
          <w:tcPr>
            <w:tcW w:w="2030" w:type="dxa"/>
            <w:tcBorders/>
            <w:tcMar>
              <w:bottom w:w="0" w:type="dxa"/>
            </w:tcMar>
            <w:vAlign w:val="center"/>
          </w:tcPr>
          <w:p>
            <w:pPr>
              <w:pStyle w:val="TableContents"/>
              <w:bidi w:val="0"/>
              <w:spacing w:before="0" w:after="283"/>
              <w:jc w:val="left"/>
              <w:rPr>
                <w:b/>
                <w:sz w:val="20"/>
              </w:rPr>
            </w:pPr>
            <w:r>
              <w:rPr>
                <w:b/>
                <w:sz w:val="20"/>
              </w:rPr>
              <w:t>Assets</w:t>
            </w:r>
          </w:p>
        </w:tc>
        <w:tc>
          <w:tcPr>
            <w:tcW w:w="755"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335"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pPr>
            <w:r>
              <w:rPr/>
              <w:t> </w:t>
            </w:r>
          </w:p>
        </w:tc>
      </w:tr>
      <w:tr>
        <w:trPr/>
        <w:tc>
          <w:tcPr>
            <w:tcW w:w="2030" w:type="dxa"/>
            <w:tcBorders/>
            <w:shd w:fill="D5EAEA" w:val="clear"/>
            <w:tcMar>
              <w:bottom w:w="0" w:type="dxa"/>
            </w:tcMar>
            <w:vAlign w:val="center"/>
          </w:tcPr>
          <w:p>
            <w:pPr>
              <w:pStyle w:val="TableContents"/>
              <w:bidi w:val="0"/>
              <w:spacing w:before="0" w:after="283"/>
              <w:jc w:val="left"/>
              <w:rPr>
                <w:sz w:val="20"/>
              </w:rPr>
            </w:pPr>
            <w:r>
              <w:rPr>
                <w:sz w:val="20"/>
              </w:rPr>
              <w:t>Energy trading contracts</w:t>
            </w:r>
          </w:p>
        </w:tc>
        <w:tc>
          <w:tcPr>
            <w:tcW w:w="755" w:type="dxa"/>
            <w:tcBorders/>
            <w:shd w:fill="D5EAEA" w:val="clear"/>
            <w:tcMar>
              <w:bottom w:w="0" w:type="dxa"/>
            </w:tcMar>
            <w:vAlign w:val="center"/>
          </w:tcPr>
          <w:p>
            <w:pPr>
              <w:pStyle w:val="TableContents"/>
              <w:bidi w:val="0"/>
              <w:spacing w:before="0" w:after="283"/>
              <w:jc w:val="right"/>
              <w:rPr>
                <w:sz w:val="20"/>
              </w:rPr>
            </w:pPr>
            <w:r>
              <w:rPr>
                <w:sz w:val="20"/>
              </w:rPr>
              <w:t>622,759</w:t>
            </w:r>
          </w:p>
        </w:tc>
        <w:tc>
          <w:tcPr>
            <w:tcW w:w="935" w:type="dxa"/>
            <w:tcBorders/>
            <w:shd w:fill="D5EAEA" w:val="clear"/>
            <w:tcMar>
              <w:bottom w:w="0" w:type="dxa"/>
            </w:tcMar>
            <w:vAlign w:val="center"/>
          </w:tcPr>
          <w:p>
            <w:pPr>
              <w:pStyle w:val="TableContents"/>
              <w:bidi w:val="0"/>
              <w:spacing w:before="0" w:after="283"/>
              <w:jc w:val="right"/>
              <w:rPr>
                <w:sz w:val="20"/>
              </w:rPr>
            </w:pPr>
            <w:r>
              <w:rPr>
                <w:sz w:val="20"/>
              </w:rPr>
              <w:t>179,498</w:t>
            </w:r>
          </w:p>
        </w:tc>
        <w:tc>
          <w:tcPr>
            <w:tcW w:w="335" w:type="dxa"/>
            <w:tcBorders/>
            <w:shd w:fill="D5EAEA" w:val="clear"/>
            <w:tcMar>
              <w:bottom w:w="0" w:type="dxa"/>
            </w:tcMar>
            <w:vAlign w:val="center"/>
          </w:tcPr>
          <w:p>
            <w:pPr>
              <w:pStyle w:val="TableContents"/>
              <w:bidi w:val="0"/>
              <w:spacing w:before="0" w:after="283"/>
              <w:jc w:val="right"/>
              <w:rPr>
                <w:sz w:val="20"/>
              </w:rPr>
            </w:pPr>
            <w:r>
              <w:rPr>
                <w:sz w:val="20"/>
              </w:rPr>
              <w:t>96</w:t>
            </w:r>
          </w:p>
        </w:tc>
        <w:tc>
          <w:tcPr>
            <w:tcW w:w="1280" w:type="dxa"/>
            <w:tcBorders/>
            <w:shd w:fill="D5EAEA" w:val="clear"/>
            <w:tcMar>
              <w:bottom w:w="0" w:type="dxa"/>
            </w:tcMar>
            <w:vAlign w:val="center"/>
          </w:tcPr>
          <w:p>
            <w:pPr>
              <w:pStyle w:val="TableContents"/>
              <w:bidi w:val="0"/>
              <w:spacing w:before="0" w:after="283"/>
              <w:jc w:val="right"/>
              <w:rPr>
                <w:sz w:val="20"/>
              </w:rPr>
            </w:pPr>
            <w:r>
              <w:rPr>
                <w:sz w:val="20"/>
              </w:rPr>
              <w:t xml:space="preserve">38,102 </w:t>
            </w:r>
          </w:p>
        </w:tc>
        <w:tc>
          <w:tcPr>
            <w:tcW w:w="1775" w:type="dxa"/>
            <w:tcBorders/>
            <w:shd w:fill="D5EAEA" w:val="clear"/>
            <w:tcMar>
              <w:bottom w:w="0" w:type="dxa"/>
            </w:tcMar>
            <w:vAlign w:val="center"/>
          </w:tcPr>
          <w:p>
            <w:pPr>
              <w:pStyle w:val="TableContents"/>
              <w:bidi w:val="0"/>
              <w:spacing w:before="0" w:after="283"/>
              <w:jc w:val="right"/>
              <w:rPr>
                <w:sz w:val="20"/>
              </w:rPr>
            </w:pPr>
            <w:r>
              <w:rPr>
                <w:sz w:val="20"/>
              </w:rPr>
              <w:t xml:space="preserve">95,179 </w:t>
            </w:r>
          </w:p>
        </w:tc>
        <w:tc>
          <w:tcPr>
            <w:tcW w:w="1490" w:type="dxa"/>
            <w:tcBorders/>
            <w:shd w:fill="D5EAEA" w:val="clear"/>
            <w:tcMar>
              <w:bottom w:w="0" w:type="dxa"/>
            </w:tcMar>
            <w:vAlign w:val="center"/>
          </w:tcPr>
          <w:p>
            <w:pPr>
              <w:pStyle w:val="TableContents"/>
              <w:bidi w:val="0"/>
              <w:spacing w:before="0" w:after="283"/>
              <w:jc w:val="right"/>
              <w:rPr>
                <w:sz w:val="20"/>
              </w:rPr>
            </w:pPr>
            <w:r>
              <w:rPr>
                <w:sz w:val="20"/>
              </w:rPr>
              <w:t xml:space="preserve">46,217 </w:t>
            </w:r>
          </w:p>
        </w:tc>
      </w:tr>
      <w:tr>
        <w:trPr/>
        <w:tc>
          <w:tcPr>
            <w:tcW w:w="2030" w:type="dxa"/>
            <w:tcBorders/>
            <w:shd w:fill="FFFFFF" w:val="clear"/>
            <w:tcMar>
              <w:bottom w:w="0" w:type="dxa"/>
            </w:tcMar>
            <w:vAlign w:val="center"/>
          </w:tcPr>
          <w:p>
            <w:pPr>
              <w:pStyle w:val="TableContents"/>
              <w:bidi w:val="0"/>
              <w:spacing w:before="0" w:after="283"/>
              <w:jc w:val="left"/>
              <w:rPr>
                <w:sz w:val="20"/>
              </w:rPr>
            </w:pPr>
            <w:r>
              <w:rPr>
                <w:sz w:val="20"/>
              </w:rPr>
              <w:t>Tria call option (a)</w:t>
            </w:r>
          </w:p>
        </w:tc>
        <w:tc>
          <w:tcPr>
            <w:tcW w:w="755" w:type="dxa"/>
            <w:tcBorders/>
            <w:shd w:fill="FFFFFF" w:val="clear"/>
            <w:tcMar>
              <w:bottom w:w="0" w:type="dxa"/>
            </w:tcMar>
            <w:vAlign w:val="center"/>
          </w:tcPr>
          <w:p>
            <w:pPr>
              <w:pStyle w:val="TableContents"/>
              <w:bidi w:val="0"/>
              <w:spacing w:before="0" w:after="283"/>
              <w:jc w:val="right"/>
              <w:rPr>
                <w:sz w:val="20"/>
              </w:rPr>
            </w:pPr>
            <w:r>
              <w:rPr>
                <w:sz w:val="20"/>
              </w:rPr>
              <w:t>53,397</w:t>
            </w:r>
          </w:p>
        </w:tc>
        <w:tc>
          <w:tcPr>
            <w:tcW w:w="935" w:type="dxa"/>
            <w:tcBorders/>
            <w:shd w:fill="FFFFFF" w:val="clear"/>
            <w:tcMar>
              <w:bottom w:w="0" w:type="dxa"/>
            </w:tcMar>
            <w:vAlign w:val="center"/>
          </w:tcPr>
          <w:p>
            <w:pPr>
              <w:pStyle w:val="TableContents"/>
              <w:bidi w:val="0"/>
              <w:spacing w:before="0" w:after="283"/>
              <w:jc w:val="right"/>
              <w:rPr>
                <w:sz w:val="20"/>
              </w:rPr>
            </w:pPr>
            <w:r>
              <w:rPr>
                <w:sz w:val="20"/>
              </w:rPr>
              <w:t>6,372</w:t>
            </w:r>
          </w:p>
        </w:tc>
        <w:tc>
          <w:tcPr>
            <w:tcW w:w="335" w:type="dxa"/>
            <w:tcBorders/>
            <w:shd w:fill="FFFFFF" w:val="clear"/>
            <w:tcMar>
              <w:bottom w:w="0" w:type="dxa"/>
            </w:tcMar>
            <w:vAlign w:val="center"/>
          </w:tcPr>
          <w:p>
            <w:pPr>
              <w:pStyle w:val="TableContents"/>
              <w:bidi w:val="0"/>
              <w:spacing w:before="0" w:after="283"/>
              <w:jc w:val="right"/>
              <w:rPr>
                <w:sz w:val="20"/>
              </w:rPr>
            </w:pPr>
            <w:r>
              <w:rPr>
                <w:sz w:val="20"/>
              </w:rPr>
              <w:t>3</w:t>
            </w:r>
          </w:p>
        </w:tc>
        <w:tc>
          <w:tcPr>
            <w:tcW w:w="1280" w:type="dxa"/>
            <w:tcBorders/>
            <w:shd w:fill="FFFFFF" w:val="clear"/>
            <w:tcMar>
              <w:bottom w:w="0" w:type="dxa"/>
            </w:tcMar>
            <w:vAlign w:val="center"/>
          </w:tcPr>
          <w:p>
            <w:pPr>
              <w:pStyle w:val="TableContents"/>
              <w:bidi w:val="0"/>
              <w:spacing w:before="0" w:after="283"/>
              <w:jc w:val="right"/>
              <w:rPr>
                <w:sz w:val="20"/>
              </w:rPr>
            </w:pPr>
            <w:r>
              <w:rPr>
                <w:sz w:val="20"/>
              </w:rPr>
              <w:t>-</w:t>
            </w:r>
          </w:p>
        </w:tc>
        <w:tc>
          <w:tcPr>
            <w:tcW w:w="1775" w:type="dxa"/>
            <w:tcBorders/>
            <w:shd w:fill="FFFFFF" w:val="clear"/>
            <w:tcMar>
              <w:bottom w:w="0" w:type="dxa"/>
            </w:tcMar>
            <w:vAlign w:val="center"/>
          </w:tcPr>
          <w:p>
            <w:pPr>
              <w:pStyle w:val="TableContents"/>
              <w:bidi w:val="0"/>
              <w:spacing w:before="0" w:after="283"/>
              <w:jc w:val="right"/>
              <w:rPr>
                <w:sz w:val="20"/>
              </w:rPr>
            </w:pPr>
            <w:r>
              <w:rPr>
                <w:sz w:val="20"/>
              </w:rPr>
              <w:t>-</w:t>
            </w:r>
          </w:p>
        </w:tc>
        <w:tc>
          <w:tcPr>
            <w:tcW w:w="1490" w:type="dxa"/>
            <w:tcBorders/>
            <w:shd w:fill="FFFFFF" w:val="clear"/>
            <w:tcMar>
              <w:bottom w:w="0" w:type="dxa"/>
            </w:tcMar>
            <w:vAlign w:val="center"/>
          </w:tcPr>
          <w:p>
            <w:pPr>
              <w:pStyle w:val="TableContents"/>
              <w:bidi w:val="0"/>
              <w:spacing w:before="0" w:after="283"/>
              <w:jc w:val="right"/>
              <w:rPr>
                <w:sz w:val="20"/>
              </w:rPr>
            </w:pPr>
            <w:r>
              <w:rPr>
                <w:sz w:val="20"/>
              </w:rPr>
              <w:t>6,372</w:t>
            </w:r>
          </w:p>
        </w:tc>
      </w:tr>
      <w:tr>
        <w:trPr/>
        <w:tc>
          <w:tcPr>
            <w:tcW w:w="2030" w:type="dxa"/>
            <w:tcBorders/>
            <w:shd w:fill="D5EAEA" w:val="clear"/>
            <w:tcMar>
              <w:bottom w:w="0" w:type="dxa"/>
            </w:tcMar>
            <w:vAlign w:val="center"/>
          </w:tcPr>
          <w:p>
            <w:pPr>
              <w:pStyle w:val="TableContents"/>
              <w:bidi w:val="0"/>
              <w:spacing w:before="0" w:after="283"/>
              <w:jc w:val="left"/>
              <w:rPr>
                <w:sz w:val="20"/>
              </w:rPr>
            </w:pPr>
            <w:r>
              <w:rPr>
                <w:sz w:val="20"/>
              </w:rPr>
              <w:t>Total return swap</w:t>
            </w:r>
          </w:p>
        </w:tc>
        <w:tc>
          <w:tcPr>
            <w:tcW w:w="755" w:type="dxa"/>
            <w:tcBorders>
              <w:bottom w:val="double" w:sz="4" w:space="0" w:color="000000"/>
            </w:tcBorders>
            <w:shd w:fill="D5EAEA" w:val="clear"/>
            <w:vAlign w:val="center"/>
          </w:tcPr>
          <w:p>
            <w:pPr>
              <w:pStyle w:val="TableContents"/>
              <w:bidi w:val="0"/>
              <w:spacing w:before="0" w:after="283"/>
              <w:jc w:val="right"/>
              <w:rPr>
                <w:sz w:val="20"/>
              </w:rPr>
            </w:pPr>
            <w:r>
              <w:rPr>
                <w:sz w:val="20"/>
              </w:rPr>
              <w:t>22,050</w:t>
            </w:r>
          </w:p>
        </w:tc>
        <w:tc>
          <w:tcPr>
            <w:tcW w:w="935" w:type="dxa"/>
            <w:tcBorders>
              <w:bottom w:val="double" w:sz="4" w:space="0" w:color="000000"/>
            </w:tcBorders>
            <w:shd w:fill="D5EAEA" w:val="clear"/>
            <w:vAlign w:val="center"/>
          </w:tcPr>
          <w:p>
            <w:pPr>
              <w:pStyle w:val="TableContents"/>
              <w:bidi w:val="0"/>
              <w:spacing w:before="0" w:after="283"/>
              <w:jc w:val="right"/>
              <w:rPr>
                <w:sz w:val="20"/>
              </w:rPr>
            </w:pPr>
            <w:r>
              <w:rPr>
                <w:sz w:val="20"/>
              </w:rPr>
              <w:t>1,194</w:t>
            </w:r>
          </w:p>
        </w:tc>
        <w:tc>
          <w:tcPr>
            <w:tcW w:w="335" w:type="dxa"/>
            <w:tcBorders>
              <w:bottom w:val="double" w:sz="4" w:space="0" w:color="000000"/>
            </w:tcBorders>
            <w:shd w:fill="D5EAEA" w:val="clear"/>
            <w:vAlign w:val="center"/>
          </w:tcPr>
          <w:p>
            <w:pPr>
              <w:pStyle w:val="TableContents"/>
              <w:bidi w:val="0"/>
              <w:spacing w:before="0" w:after="283"/>
              <w:jc w:val="right"/>
              <w:rPr>
                <w:sz w:val="20"/>
              </w:rPr>
            </w:pPr>
            <w:r>
              <w:rPr>
                <w:sz w:val="20"/>
              </w:rPr>
              <w:t>1</w:t>
            </w:r>
          </w:p>
        </w:tc>
        <w:tc>
          <w:tcPr>
            <w:tcW w:w="1280" w:type="dxa"/>
            <w:tcBorders>
              <w:bottom w:val="double" w:sz="4" w:space="0" w:color="000000"/>
            </w:tcBorders>
            <w:shd w:fill="D5EAEA" w:val="clear"/>
            <w:vAlign w:val="center"/>
          </w:tcPr>
          <w:p>
            <w:pPr>
              <w:pStyle w:val="TableContents"/>
              <w:bidi w:val="0"/>
              <w:spacing w:before="0" w:after="283"/>
              <w:jc w:val="right"/>
              <w:rPr>
                <w:sz w:val="20"/>
              </w:rPr>
            </w:pPr>
            <w:r>
              <w:rPr>
                <w:sz w:val="20"/>
              </w:rPr>
              <w:t>-</w:t>
            </w:r>
          </w:p>
        </w:tc>
        <w:tc>
          <w:tcPr>
            <w:tcW w:w="1775" w:type="dxa"/>
            <w:tcBorders>
              <w:bottom w:val="double" w:sz="4" w:space="0" w:color="000000"/>
            </w:tcBorders>
            <w:shd w:fill="D5EAEA" w:val="clear"/>
            <w:vAlign w:val="center"/>
          </w:tcPr>
          <w:p>
            <w:pPr>
              <w:pStyle w:val="TableContents"/>
              <w:bidi w:val="0"/>
              <w:spacing w:before="0" w:after="283"/>
              <w:jc w:val="right"/>
              <w:rPr>
                <w:sz w:val="20"/>
              </w:rPr>
            </w:pPr>
            <w:r>
              <w:rPr>
                <w:sz w:val="20"/>
              </w:rPr>
              <w:t>1,194</w:t>
            </w:r>
          </w:p>
        </w:tc>
        <w:tc>
          <w:tcPr>
            <w:tcW w:w="1490" w:type="dxa"/>
            <w:tcBorders>
              <w:bottom w:val="double" w:sz="4" w:space="0" w:color="000000"/>
            </w:tcBorders>
            <w:shd w:fill="D5EAEA" w:val="clear"/>
            <w:vAlign w:val="center"/>
          </w:tcPr>
          <w:p>
            <w:pPr>
              <w:pStyle w:val="TableContents"/>
              <w:bidi w:val="0"/>
              <w:spacing w:before="0" w:after="283"/>
              <w:jc w:val="right"/>
              <w:rPr>
                <w:sz w:val="20"/>
              </w:rPr>
            </w:pPr>
            <w:r>
              <w:rPr>
                <w:sz w:val="20"/>
              </w:rPr>
              <w:t>-</w:t>
            </w:r>
          </w:p>
        </w:tc>
      </w:tr>
      <w:tr>
        <w:trPr/>
        <w:tc>
          <w:tcPr>
            <w:tcW w:w="2030" w:type="dxa"/>
            <w:tcBorders/>
            <w:shd w:fill="FFFFFF" w:val="clear"/>
            <w:tcMar>
              <w:bottom w:w="0" w:type="dxa"/>
            </w:tcMar>
            <w:vAlign w:val="center"/>
          </w:tcPr>
          <w:p>
            <w:pPr>
              <w:pStyle w:val="TableContents"/>
              <w:bidi w:val="0"/>
              <w:spacing w:before="0" w:after="283"/>
              <w:jc w:val="left"/>
              <w:rPr>
                <w:b/>
                <w:sz w:val="20"/>
              </w:rPr>
            </w:pPr>
            <w:r>
              <w:rPr>
                <w:b/>
                <w:sz w:val="20"/>
              </w:rPr>
              <w:t>Total</w:t>
            </w:r>
          </w:p>
        </w:tc>
        <w:tc>
          <w:tcPr>
            <w:tcW w:w="755" w:type="dxa"/>
            <w:tcBorders>
              <w:bottom w:val="double" w:sz="4" w:space="0" w:color="000000"/>
            </w:tcBorders>
            <w:shd w:fill="FFFFFF" w:val="clear"/>
            <w:vAlign w:val="center"/>
          </w:tcPr>
          <w:p>
            <w:pPr>
              <w:pStyle w:val="TableContents"/>
              <w:bidi w:val="0"/>
              <w:spacing w:before="0" w:after="283"/>
              <w:jc w:val="right"/>
              <w:rPr>
                <w:b/>
                <w:sz w:val="20"/>
              </w:rPr>
            </w:pPr>
            <w:r>
              <w:rPr>
                <w:b/>
                <w:sz w:val="20"/>
              </w:rPr>
              <w:t>698,206</w:t>
            </w:r>
          </w:p>
        </w:tc>
        <w:tc>
          <w:tcPr>
            <w:tcW w:w="935" w:type="dxa"/>
            <w:tcBorders>
              <w:bottom w:val="double" w:sz="4" w:space="0" w:color="000000"/>
            </w:tcBorders>
            <w:shd w:fill="FFFFFF" w:val="clear"/>
            <w:vAlign w:val="center"/>
          </w:tcPr>
          <w:p>
            <w:pPr>
              <w:pStyle w:val="TableContents"/>
              <w:bidi w:val="0"/>
              <w:spacing w:before="0" w:after="283"/>
              <w:jc w:val="right"/>
              <w:rPr>
                <w:b/>
                <w:sz w:val="20"/>
              </w:rPr>
            </w:pPr>
            <w:r>
              <w:rPr>
                <w:b/>
                <w:sz w:val="20"/>
              </w:rPr>
              <w:t>187,064</w:t>
            </w:r>
          </w:p>
        </w:tc>
        <w:tc>
          <w:tcPr>
            <w:tcW w:w="335" w:type="dxa"/>
            <w:tcBorders>
              <w:bottom w:val="double" w:sz="4" w:space="0" w:color="000000"/>
            </w:tcBorders>
            <w:shd w:fill="FFFFFF" w:val="clear"/>
            <w:vAlign w:val="center"/>
          </w:tcPr>
          <w:p>
            <w:pPr>
              <w:pStyle w:val="TableContents"/>
              <w:bidi w:val="0"/>
              <w:spacing w:before="0" w:after="283"/>
              <w:jc w:val="right"/>
              <w:rPr>
                <w:b/>
                <w:sz w:val="20"/>
              </w:rPr>
            </w:pPr>
            <w:r>
              <w:rPr>
                <w:b/>
                <w:sz w:val="20"/>
              </w:rPr>
              <w:t>100</w:t>
            </w:r>
          </w:p>
        </w:tc>
        <w:tc>
          <w:tcPr>
            <w:tcW w:w="1280" w:type="dxa"/>
            <w:tcBorders>
              <w:bottom w:val="double" w:sz="4" w:space="0" w:color="000000"/>
            </w:tcBorders>
            <w:shd w:fill="FFFFFF" w:val="clear"/>
            <w:vAlign w:val="center"/>
          </w:tcPr>
          <w:p>
            <w:pPr>
              <w:pStyle w:val="TableContents"/>
              <w:bidi w:val="0"/>
              <w:spacing w:before="0" w:after="283"/>
              <w:jc w:val="right"/>
              <w:rPr>
                <w:b/>
                <w:sz w:val="20"/>
              </w:rPr>
            </w:pPr>
            <w:r>
              <w:rPr>
                <w:b/>
                <w:sz w:val="20"/>
              </w:rPr>
              <w:t xml:space="preserve">38,102 </w:t>
            </w:r>
          </w:p>
        </w:tc>
        <w:tc>
          <w:tcPr>
            <w:tcW w:w="1775" w:type="dxa"/>
            <w:tcBorders>
              <w:bottom w:val="double" w:sz="4" w:space="0" w:color="000000"/>
            </w:tcBorders>
            <w:shd w:fill="FFFFFF" w:val="clear"/>
            <w:vAlign w:val="center"/>
          </w:tcPr>
          <w:p>
            <w:pPr>
              <w:pStyle w:val="TableContents"/>
              <w:bidi w:val="0"/>
              <w:spacing w:before="0" w:after="283"/>
              <w:jc w:val="right"/>
              <w:rPr>
                <w:b/>
                <w:sz w:val="20"/>
              </w:rPr>
            </w:pPr>
            <w:r>
              <w:rPr>
                <w:b/>
                <w:sz w:val="20"/>
              </w:rPr>
              <w:t xml:space="preserve">96,373 </w:t>
            </w:r>
          </w:p>
        </w:tc>
        <w:tc>
          <w:tcPr>
            <w:tcW w:w="1490" w:type="dxa"/>
            <w:tcBorders>
              <w:bottom w:val="double" w:sz="4" w:space="0" w:color="000000"/>
            </w:tcBorders>
            <w:shd w:fill="FFFFFF" w:val="clear"/>
            <w:vAlign w:val="center"/>
          </w:tcPr>
          <w:p>
            <w:pPr>
              <w:pStyle w:val="TableContents"/>
              <w:bidi w:val="0"/>
              <w:spacing w:before="0" w:after="283"/>
              <w:jc w:val="right"/>
              <w:rPr>
                <w:b/>
                <w:sz w:val="20"/>
              </w:rPr>
            </w:pPr>
            <w:r>
              <w:rPr>
                <w:b/>
                <w:sz w:val="20"/>
              </w:rPr>
              <w:t>52,589</w:t>
            </w:r>
          </w:p>
        </w:tc>
      </w:tr>
      <w:tr>
        <w:trPr/>
        <w:tc>
          <w:tcPr>
            <w:tcW w:w="2030" w:type="dxa"/>
            <w:tcBorders/>
            <w:shd w:fill="D5EAEA" w:val="clear"/>
            <w:tcMar>
              <w:bottom w:w="0" w:type="dxa"/>
            </w:tcMar>
            <w:vAlign w:val="center"/>
          </w:tcPr>
          <w:p>
            <w:pPr>
              <w:pStyle w:val="TableContents"/>
              <w:bidi w:val="0"/>
              <w:spacing w:before="0" w:after="283"/>
              <w:jc w:val="left"/>
              <w:rPr/>
            </w:pPr>
            <w:r>
              <w:rPr/>
              <w:t> </w:t>
            </w:r>
          </w:p>
        </w:tc>
        <w:tc>
          <w:tcPr>
            <w:tcW w:w="755" w:type="dxa"/>
            <w:tcBorders/>
            <w:shd w:fill="D5EAEA" w:val="clear"/>
            <w:tcMar>
              <w:bottom w:w="0" w:type="dxa"/>
            </w:tcMar>
            <w:vAlign w:val="center"/>
          </w:tcPr>
          <w:p>
            <w:pPr>
              <w:pStyle w:val="TableContents"/>
              <w:bidi w:val="0"/>
              <w:spacing w:before="0" w:after="283"/>
              <w:jc w:val="left"/>
              <w:rPr/>
            </w:pPr>
            <w:r>
              <w:rPr/>
              <w:t> </w:t>
            </w:r>
          </w:p>
        </w:tc>
        <w:tc>
          <w:tcPr>
            <w:tcW w:w="935" w:type="dxa"/>
            <w:tcBorders/>
            <w:shd w:fill="D5EAEA" w:val="clear"/>
            <w:tcMar>
              <w:bottom w:w="0" w:type="dxa"/>
            </w:tcMar>
            <w:vAlign w:val="center"/>
          </w:tcPr>
          <w:p>
            <w:pPr>
              <w:pStyle w:val="TableContents"/>
              <w:bidi w:val="0"/>
              <w:spacing w:before="0" w:after="283"/>
              <w:jc w:val="left"/>
              <w:rPr/>
            </w:pPr>
            <w:r>
              <w:rPr/>
              <w:t> </w:t>
            </w:r>
          </w:p>
        </w:tc>
        <w:tc>
          <w:tcPr>
            <w:tcW w:w="335" w:type="dxa"/>
            <w:tcBorders/>
            <w:shd w:fill="D5EAEA" w:val="clear"/>
            <w:tcMar>
              <w:bottom w:w="0" w:type="dxa"/>
            </w:tcMar>
            <w:vAlign w:val="center"/>
          </w:tcPr>
          <w:p>
            <w:pPr>
              <w:pStyle w:val="TableContents"/>
              <w:bidi w:val="0"/>
              <w:spacing w:before="0" w:after="283"/>
              <w:jc w:val="center"/>
              <w:rPr/>
            </w:pPr>
            <w:r>
              <w:rPr/>
              <w:t> </w:t>
            </w:r>
          </w:p>
        </w:tc>
        <w:tc>
          <w:tcPr>
            <w:tcW w:w="1280" w:type="dxa"/>
            <w:tcBorders/>
            <w:shd w:fill="D5EAEA" w:val="clear"/>
            <w:tcMar>
              <w:bottom w:w="0" w:type="dxa"/>
            </w:tcMar>
            <w:vAlign w:val="center"/>
          </w:tcPr>
          <w:p>
            <w:pPr>
              <w:pStyle w:val="TableContents"/>
              <w:bidi w:val="0"/>
              <w:spacing w:before="0" w:after="283"/>
              <w:jc w:val="left"/>
              <w:rPr/>
            </w:pPr>
            <w:r>
              <w:rPr/>
              <w:t> </w:t>
            </w:r>
          </w:p>
        </w:tc>
        <w:tc>
          <w:tcPr>
            <w:tcW w:w="1775" w:type="dxa"/>
            <w:tcBorders/>
            <w:shd w:fill="D5EAEA" w:val="clear"/>
            <w:tcMar>
              <w:bottom w:w="0" w:type="dxa"/>
            </w:tcMar>
            <w:vAlign w:val="center"/>
          </w:tcPr>
          <w:p>
            <w:pPr>
              <w:pStyle w:val="TableContents"/>
              <w:bidi w:val="0"/>
              <w:spacing w:before="0" w:after="283"/>
              <w:jc w:val="left"/>
              <w:rPr/>
            </w:pPr>
            <w:r>
              <w:rPr/>
              <w:t> </w:t>
            </w:r>
          </w:p>
        </w:tc>
        <w:tc>
          <w:tcPr>
            <w:tcW w:w="1490" w:type="dxa"/>
            <w:tcBorders/>
            <w:shd w:fill="D5EAEA"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283"/>
              <w:jc w:val="left"/>
              <w:rPr>
                <w:b/>
                <w:sz w:val="20"/>
              </w:rPr>
            </w:pPr>
            <w:r>
              <w:rPr>
                <w:b/>
                <w:sz w:val="20"/>
              </w:rPr>
              <w:t>Liabilities</w:t>
            </w:r>
          </w:p>
        </w:tc>
        <w:tc>
          <w:tcPr>
            <w:tcW w:w="755"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shd w:fill="D5EAEA" w:val="clear"/>
            <w:tcMar>
              <w:bottom w:w="0" w:type="dxa"/>
            </w:tcMar>
            <w:vAlign w:val="center"/>
          </w:tcPr>
          <w:p>
            <w:pPr>
              <w:pStyle w:val="TableContents"/>
              <w:bidi w:val="0"/>
              <w:spacing w:before="0" w:after="283"/>
              <w:jc w:val="left"/>
              <w:rPr>
                <w:sz w:val="20"/>
              </w:rPr>
            </w:pPr>
            <w:r>
              <w:rPr>
                <w:sz w:val="20"/>
              </w:rPr>
              <w:t>Warrants – SPAC</w:t>
            </w:r>
          </w:p>
        </w:tc>
        <w:tc>
          <w:tcPr>
            <w:tcW w:w="755" w:type="dxa"/>
            <w:tcBorders/>
            <w:shd w:fill="D5EAEA" w:val="clear"/>
            <w:tcMar>
              <w:bottom w:w="0" w:type="dxa"/>
            </w:tcMar>
            <w:vAlign w:val="center"/>
          </w:tcPr>
          <w:p>
            <w:pPr>
              <w:pStyle w:val="TableContents"/>
              <w:bidi w:val="0"/>
              <w:spacing w:before="0" w:after="283"/>
              <w:jc w:val="right"/>
              <w:rPr>
                <w:sz w:val="20"/>
              </w:rPr>
            </w:pPr>
            <w:r>
              <w:rPr>
                <w:sz w:val="20"/>
              </w:rPr>
              <w:t>132,250</w:t>
            </w:r>
          </w:p>
        </w:tc>
        <w:tc>
          <w:tcPr>
            <w:tcW w:w="935" w:type="dxa"/>
            <w:tcBorders/>
            <w:shd w:fill="D5EAEA" w:val="clear"/>
            <w:tcMar>
              <w:bottom w:w="0" w:type="dxa"/>
            </w:tcMar>
            <w:vAlign w:val="center"/>
          </w:tcPr>
          <w:p>
            <w:pPr>
              <w:pStyle w:val="TableContents"/>
              <w:bidi w:val="0"/>
              <w:spacing w:before="0" w:after="283"/>
              <w:jc w:val="right"/>
              <w:rPr>
                <w:sz w:val="20"/>
              </w:rPr>
            </w:pPr>
            <w:r>
              <w:rPr>
                <w:sz w:val="20"/>
              </w:rPr>
              <w:t>-</w:t>
            </w:r>
          </w:p>
        </w:tc>
        <w:tc>
          <w:tcPr>
            <w:tcW w:w="335" w:type="dxa"/>
            <w:tcBorders/>
            <w:shd w:fill="D5EAEA" w:val="clear"/>
            <w:tcMar>
              <w:bottom w:w="0" w:type="dxa"/>
            </w:tcMar>
            <w:vAlign w:val="center"/>
          </w:tcPr>
          <w:p>
            <w:pPr>
              <w:pStyle w:val="TableContents"/>
              <w:bidi w:val="0"/>
              <w:spacing w:before="0" w:after="283"/>
              <w:jc w:val="right"/>
              <w:rPr>
                <w:sz w:val="20"/>
              </w:rPr>
            </w:pPr>
            <w:r>
              <w:rPr>
                <w:sz w:val="20"/>
              </w:rPr>
              <w:t>-</w:t>
            </w:r>
          </w:p>
        </w:tc>
        <w:tc>
          <w:tcPr>
            <w:tcW w:w="1280" w:type="dxa"/>
            <w:tcBorders/>
            <w:shd w:fill="D5EAEA" w:val="clear"/>
            <w:tcMar>
              <w:bottom w:w="0" w:type="dxa"/>
            </w:tcMar>
            <w:vAlign w:val="center"/>
          </w:tcPr>
          <w:p>
            <w:pPr>
              <w:pStyle w:val="TableContents"/>
              <w:bidi w:val="0"/>
              <w:spacing w:before="0" w:after="283"/>
              <w:jc w:val="right"/>
              <w:rPr>
                <w:sz w:val="20"/>
              </w:rPr>
            </w:pPr>
            <w:r>
              <w:rPr>
                <w:sz w:val="20"/>
              </w:rPr>
              <w:t>-</w:t>
            </w:r>
          </w:p>
        </w:tc>
        <w:tc>
          <w:tcPr>
            <w:tcW w:w="1775" w:type="dxa"/>
            <w:tcBorders/>
            <w:shd w:fill="D5EAEA" w:val="clear"/>
            <w:tcMar>
              <w:bottom w:w="0" w:type="dxa"/>
            </w:tcMar>
            <w:vAlign w:val="center"/>
          </w:tcPr>
          <w:p>
            <w:pPr>
              <w:pStyle w:val="TableContents"/>
              <w:bidi w:val="0"/>
              <w:spacing w:before="0" w:after="283"/>
              <w:jc w:val="right"/>
              <w:rPr>
                <w:sz w:val="20"/>
              </w:rPr>
            </w:pPr>
            <w:r>
              <w:rPr>
                <w:sz w:val="20"/>
              </w:rPr>
              <w:t>-</w:t>
            </w:r>
          </w:p>
        </w:tc>
        <w:tc>
          <w:tcPr>
            <w:tcW w:w="1490" w:type="dxa"/>
            <w:tcBorders/>
            <w:shd w:fill="D5EAEA" w:val="clear"/>
            <w:tcMar>
              <w:bottom w:w="0" w:type="dxa"/>
            </w:tcMar>
            <w:vAlign w:val="center"/>
          </w:tcPr>
          <w:p>
            <w:pPr>
              <w:pStyle w:val="TableContents"/>
              <w:bidi w:val="0"/>
              <w:spacing w:before="0" w:after="283"/>
              <w:jc w:val="right"/>
              <w:rPr>
                <w:sz w:val="20"/>
              </w:rPr>
            </w:pPr>
            <w:r>
              <w:rPr>
                <w:sz w:val="20"/>
              </w:rPr>
              <w:t>-</w:t>
            </w:r>
          </w:p>
        </w:tc>
      </w:tr>
      <w:tr>
        <w:trPr/>
        <w:tc>
          <w:tcPr>
            <w:tcW w:w="2030" w:type="dxa"/>
            <w:tcBorders/>
            <w:shd w:fill="FFFFFF" w:val="clear"/>
            <w:tcMar>
              <w:bottom w:w="0" w:type="dxa"/>
            </w:tcMar>
            <w:vAlign w:val="center"/>
          </w:tcPr>
          <w:p>
            <w:pPr>
              <w:pStyle w:val="TableContents"/>
              <w:bidi w:val="0"/>
              <w:spacing w:before="0" w:after="283"/>
              <w:jc w:val="left"/>
              <w:rPr>
                <w:sz w:val="20"/>
              </w:rPr>
            </w:pPr>
            <w:r>
              <w:rPr>
                <w:sz w:val="20"/>
              </w:rPr>
              <w:t>Energy trading contracts</w:t>
            </w:r>
          </w:p>
        </w:tc>
        <w:tc>
          <w:tcPr>
            <w:tcW w:w="755" w:type="dxa"/>
            <w:tcBorders/>
            <w:shd w:fill="FFFFFF" w:val="clear"/>
            <w:tcMar>
              <w:bottom w:w="0" w:type="dxa"/>
            </w:tcMar>
            <w:vAlign w:val="center"/>
          </w:tcPr>
          <w:p>
            <w:pPr>
              <w:pStyle w:val="TableContents"/>
              <w:bidi w:val="0"/>
              <w:spacing w:before="0" w:after="283"/>
              <w:jc w:val="right"/>
              <w:rPr>
                <w:sz w:val="20"/>
              </w:rPr>
            </w:pPr>
            <w:r>
              <w:rPr>
                <w:sz w:val="20"/>
              </w:rPr>
              <w:t>562,219</w:t>
            </w:r>
          </w:p>
        </w:tc>
        <w:tc>
          <w:tcPr>
            <w:tcW w:w="935" w:type="dxa"/>
            <w:tcBorders/>
            <w:shd w:fill="FFFFFF" w:val="clear"/>
            <w:tcMar>
              <w:bottom w:w="0" w:type="dxa"/>
            </w:tcMar>
            <w:vAlign w:val="center"/>
          </w:tcPr>
          <w:p>
            <w:pPr>
              <w:pStyle w:val="TableContents"/>
              <w:bidi w:val="0"/>
              <w:spacing w:before="0" w:after="283"/>
              <w:jc w:val="right"/>
              <w:rPr>
                <w:sz w:val="20"/>
              </w:rPr>
            </w:pPr>
            <w:r>
              <w:rPr>
                <w:sz w:val="20"/>
              </w:rPr>
              <w:t>149,879</w:t>
            </w:r>
          </w:p>
        </w:tc>
        <w:tc>
          <w:tcPr>
            <w:tcW w:w="335" w:type="dxa"/>
            <w:tcBorders/>
            <w:shd w:fill="FFFFFF" w:val="clear"/>
            <w:tcMar>
              <w:bottom w:w="0" w:type="dxa"/>
            </w:tcMar>
            <w:vAlign w:val="center"/>
          </w:tcPr>
          <w:p>
            <w:pPr>
              <w:pStyle w:val="TableContents"/>
              <w:bidi w:val="0"/>
              <w:spacing w:before="0" w:after="283"/>
              <w:jc w:val="right"/>
              <w:rPr>
                <w:sz w:val="20"/>
              </w:rPr>
            </w:pPr>
            <w:r>
              <w:rPr>
                <w:sz w:val="20"/>
              </w:rPr>
              <w:t>100</w:t>
            </w:r>
          </w:p>
        </w:tc>
        <w:tc>
          <w:tcPr>
            <w:tcW w:w="1280" w:type="dxa"/>
            <w:tcBorders/>
            <w:shd w:fill="FFFFFF" w:val="clear"/>
            <w:tcMar>
              <w:bottom w:w="0" w:type="dxa"/>
            </w:tcMar>
            <w:vAlign w:val="center"/>
          </w:tcPr>
          <w:p>
            <w:pPr>
              <w:pStyle w:val="TableContents"/>
              <w:bidi w:val="0"/>
              <w:spacing w:before="0" w:after="283"/>
              <w:jc w:val="right"/>
              <w:rPr>
                <w:sz w:val="20"/>
              </w:rPr>
            </w:pPr>
            <w:r>
              <w:rPr>
                <w:sz w:val="20"/>
              </w:rPr>
              <w:t>32,465</w:t>
            </w:r>
          </w:p>
        </w:tc>
        <w:tc>
          <w:tcPr>
            <w:tcW w:w="1775" w:type="dxa"/>
            <w:tcBorders/>
            <w:shd w:fill="FFFFFF" w:val="clear"/>
            <w:tcMar>
              <w:bottom w:w="0" w:type="dxa"/>
            </w:tcMar>
            <w:vAlign w:val="center"/>
          </w:tcPr>
          <w:p>
            <w:pPr>
              <w:pStyle w:val="TableContents"/>
              <w:bidi w:val="0"/>
              <w:spacing w:before="0" w:after="283"/>
              <w:jc w:val="right"/>
              <w:rPr>
                <w:sz w:val="20"/>
              </w:rPr>
            </w:pPr>
            <w:r>
              <w:rPr>
                <w:sz w:val="20"/>
              </w:rPr>
              <w:t>84,958</w:t>
            </w:r>
          </w:p>
        </w:tc>
        <w:tc>
          <w:tcPr>
            <w:tcW w:w="1490" w:type="dxa"/>
            <w:tcBorders/>
            <w:shd w:fill="FFFFFF" w:val="clear"/>
            <w:tcMar>
              <w:bottom w:w="0" w:type="dxa"/>
            </w:tcMar>
            <w:vAlign w:val="center"/>
          </w:tcPr>
          <w:p>
            <w:pPr>
              <w:pStyle w:val="TableContents"/>
              <w:bidi w:val="0"/>
              <w:spacing w:before="0" w:after="283"/>
              <w:jc w:val="right"/>
              <w:rPr>
                <w:sz w:val="20"/>
              </w:rPr>
            </w:pPr>
            <w:r>
              <w:rPr>
                <w:sz w:val="20"/>
              </w:rPr>
              <w:t>32,456</w:t>
            </w:r>
          </w:p>
        </w:tc>
      </w:tr>
      <w:tr>
        <w:trPr/>
        <w:tc>
          <w:tcPr>
            <w:tcW w:w="2030" w:type="dxa"/>
            <w:tcBorders/>
            <w:shd w:fill="D5EAEA" w:val="clear"/>
            <w:tcMar>
              <w:bottom w:w="0" w:type="dxa"/>
            </w:tcMar>
            <w:vAlign w:val="center"/>
          </w:tcPr>
          <w:p>
            <w:pPr>
              <w:pStyle w:val="TableContents"/>
              <w:bidi w:val="0"/>
              <w:spacing w:before="0" w:after="283"/>
              <w:jc w:val="left"/>
              <w:rPr>
                <w:b/>
                <w:sz w:val="20"/>
              </w:rPr>
            </w:pPr>
            <w:r>
              <w:rPr>
                <w:b/>
                <w:sz w:val="20"/>
              </w:rPr>
              <w:t>Total</w:t>
            </w:r>
          </w:p>
        </w:tc>
        <w:tc>
          <w:tcPr>
            <w:tcW w:w="755"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694,469</w:t>
            </w:r>
          </w:p>
        </w:tc>
        <w:tc>
          <w:tcPr>
            <w:tcW w:w="935"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149,879</w:t>
            </w:r>
          </w:p>
        </w:tc>
        <w:tc>
          <w:tcPr>
            <w:tcW w:w="335"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100</w:t>
            </w:r>
          </w:p>
        </w:tc>
        <w:tc>
          <w:tcPr>
            <w:tcW w:w="1280"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32,465</w:t>
            </w:r>
          </w:p>
        </w:tc>
        <w:tc>
          <w:tcPr>
            <w:tcW w:w="1775"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84,958</w:t>
            </w:r>
          </w:p>
        </w:tc>
        <w:tc>
          <w:tcPr>
            <w:tcW w:w="1490" w:type="dxa"/>
            <w:tcBorders>
              <w:top w:val="single" w:sz="8" w:space="0" w:color="000000"/>
              <w:bottom w:val="double" w:sz="4" w:space="0" w:color="000000"/>
            </w:tcBorders>
            <w:shd w:fill="D5EAEA" w:val="clear"/>
            <w:tcMar>
              <w:top w:w="28" w:type="dxa"/>
            </w:tcMar>
            <w:vAlign w:val="center"/>
          </w:tcPr>
          <w:p>
            <w:pPr>
              <w:pStyle w:val="TableContents"/>
              <w:bidi w:val="0"/>
              <w:spacing w:before="0" w:after="283"/>
              <w:jc w:val="right"/>
              <w:rPr>
                <w:b/>
                <w:sz w:val="20"/>
              </w:rPr>
            </w:pPr>
            <w:r>
              <w:rPr>
                <w:b/>
                <w:sz w:val="20"/>
              </w:rPr>
              <w:t>32,456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The</w:t>
              <w:tab/>
              <w:t>Tria call option forms part of the share purchase agreement entered on April 2, 2024, and provides the Company with the option to buy the remaining 33.33% share in Tria from non-controlling shareholders. Further details disclosed in note 21(c).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335"/>
        <w:gridCol w:w="2300"/>
      </w:tblGrid>
      <w:tr>
        <w:trPr/>
        <w:tc>
          <w:tcPr>
            <w:tcW w:w="335" w:type="dxa"/>
            <w:tcBorders/>
            <w:vAlign w:val="center"/>
          </w:tcPr>
          <w:p>
            <w:pPr>
              <w:pStyle w:val="TableContents"/>
              <w:bidi w:val="0"/>
              <w:spacing w:before="0" w:after="283"/>
              <w:jc w:val="left"/>
              <w:rPr/>
            </w:pPr>
            <w:r>
              <w:rPr/>
              <w:t>13.</w:t>
            </w:r>
          </w:p>
        </w:tc>
        <w:tc>
          <w:tcPr>
            <w:tcW w:w="2300" w:type="dxa"/>
            <w:tcBorders/>
            <w:vAlign w:val="center"/>
          </w:tcPr>
          <w:p>
            <w:pPr>
              <w:pStyle w:val="TableContents"/>
              <w:bidi w:val="0"/>
              <w:spacing w:before="0" w:after="283"/>
              <w:jc w:val="left"/>
              <w:rPr/>
            </w:pPr>
            <w:r>
              <w:rPr/>
              <w:t>Property and equipment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14"/>
        <w:gridCol w:w="1288"/>
        <w:gridCol w:w="830"/>
        <w:gridCol w:w="815"/>
        <w:gridCol w:w="1679"/>
        <w:gridCol w:w="845"/>
        <w:gridCol w:w="601"/>
        <w:gridCol w:w="1233"/>
      </w:tblGrid>
      <w:tr>
        <w:trPr/>
        <w:tc>
          <w:tcPr>
            <w:tcW w:w="2914" w:type="dxa"/>
            <w:tcBorders>
              <w:bottom w:val="single" w:sz="8" w:space="0" w:color="000000"/>
            </w:tcBorders>
            <w:vAlign w:val="center"/>
          </w:tcPr>
          <w:p>
            <w:pPr>
              <w:pStyle w:val="TableContents"/>
              <w:bidi w:val="0"/>
              <w:spacing w:before="0" w:after="283"/>
              <w:jc w:val="left"/>
              <w:rPr/>
            </w:pPr>
            <w:r>
              <w:rPr/>
              <w:t> </w:t>
            </w:r>
          </w:p>
        </w:tc>
        <w:tc>
          <w:tcPr>
            <w:tcW w:w="7291" w:type="dxa"/>
            <w:gridSpan w:val="7"/>
            <w:tcBorders>
              <w:bottom w:val="single" w:sz="8" w:space="0" w:color="000000"/>
            </w:tcBorders>
            <w:vAlign w:val="center"/>
          </w:tcPr>
          <w:p>
            <w:pPr>
              <w:pStyle w:val="TableContents"/>
              <w:bidi w:val="0"/>
              <w:spacing w:before="0" w:after="283"/>
              <w:jc w:val="center"/>
              <w:rPr>
                <w:b/>
                <w:sz w:val="20"/>
              </w:rPr>
            </w:pPr>
            <w:r>
              <w:rPr>
                <w:b/>
                <w:sz w:val="20"/>
              </w:rPr>
              <w:t>Six-month period ended June 30, 2026</w:t>
            </w:r>
          </w:p>
        </w:tc>
      </w:tr>
      <w:tr>
        <w:trPr/>
        <w:tc>
          <w:tcPr>
            <w:tcW w:w="2914" w:type="dxa"/>
            <w:tcBorders>
              <w:bottom w:val="single" w:sz="8" w:space="0" w:color="000000"/>
            </w:tcBorders>
            <w:vAlign w:val="center"/>
          </w:tcPr>
          <w:p>
            <w:pPr>
              <w:pStyle w:val="TableContents"/>
              <w:bidi w:val="0"/>
              <w:spacing w:before="0" w:after="283"/>
              <w:jc w:val="left"/>
              <w:rPr>
                <w:b/>
                <w:i/>
                <w:sz w:val="20"/>
              </w:rPr>
            </w:pPr>
            <w:r>
              <w:rPr>
                <w:b/>
                <w:i/>
                <w:sz w:val="20"/>
              </w:rPr>
              <w:t>Changes in cost</w:t>
            </w:r>
          </w:p>
        </w:tc>
        <w:tc>
          <w:tcPr>
            <w:tcW w:w="1288" w:type="dxa"/>
            <w:tcBorders>
              <w:bottom w:val="single" w:sz="8" w:space="0" w:color="000000"/>
            </w:tcBorders>
            <w:vAlign w:val="center"/>
          </w:tcPr>
          <w:p>
            <w:pPr>
              <w:pStyle w:val="TableContents"/>
              <w:bidi w:val="0"/>
              <w:spacing w:before="0" w:after="283"/>
              <w:jc w:val="center"/>
              <w:rPr>
                <w:b/>
                <w:sz w:val="20"/>
              </w:rPr>
            </w:pPr>
            <w:r>
              <w:rPr>
                <w:b/>
                <w:sz w:val="20"/>
              </w:rPr>
              <w:t>Opening balance</w:t>
            </w:r>
          </w:p>
        </w:tc>
        <w:tc>
          <w:tcPr>
            <w:tcW w:w="830" w:type="dxa"/>
            <w:tcBorders>
              <w:bottom w:val="single" w:sz="8" w:space="0" w:color="000000"/>
            </w:tcBorders>
            <w:vAlign w:val="center"/>
          </w:tcPr>
          <w:p>
            <w:pPr>
              <w:pStyle w:val="TableContents"/>
              <w:bidi w:val="0"/>
              <w:spacing w:before="0" w:after="283"/>
              <w:jc w:val="center"/>
              <w:rPr>
                <w:b/>
                <w:sz w:val="20"/>
              </w:rPr>
            </w:pPr>
            <w:r>
              <w:rPr>
                <w:b/>
                <w:sz w:val="20"/>
              </w:rPr>
              <w:t>Additions</w:t>
            </w:r>
          </w:p>
        </w:tc>
        <w:tc>
          <w:tcPr>
            <w:tcW w:w="815" w:type="dxa"/>
            <w:tcBorders>
              <w:bottom w:val="single" w:sz="8" w:space="0" w:color="000000"/>
            </w:tcBorders>
            <w:vAlign w:val="center"/>
          </w:tcPr>
          <w:p>
            <w:pPr>
              <w:pStyle w:val="TableContents"/>
              <w:bidi w:val="0"/>
              <w:spacing w:before="0" w:after="283"/>
              <w:jc w:val="center"/>
              <w:rPr>
                <w:b/>
                <w:sz w:val="20"/>
              </w:rPr>
            </w:pPr>
            <w:r>
              <w:rPr>
                <w:b/>
                <w:sz w:val="20"/>
              </w:rPr>
              <w:t>Disposals</w:t>
            </w:r>
          </w:p>
        </w:tc>
        <w:tc>
          <w:tcPr>
            <w:tcW w:w="1679" w:type="dxa"/>
            <w:tcBorders>
              <w:bottom w:val="single" w:sz="8" w:space="0" w:color="000000"/>
            </w:tcBorders>
            <w:vAlign w:val="center"/>
          </w:tcPr>
          <w:p>
            <w:pPr>
              <w:pStyle w:val="TableContents"/>
              <w:bidi w:val="0"/>
              <w:spacing w:before="0" w:after="283"/>
              <w:jc w:val="center"/>
              <w:rPr>
                <w:b/>
                <w:sz w:val="20"/>
              </w:rPr>
            </w:pPr>
            <w:r>
              <w:rPr>
                <w:b/>
                <w:sz w:val="20"/>
              </w:rPr>
              <w:t>Business combination</w:t>
            </w:r>
          </w:p>
        </w:tc>
        <w:tc>
          <w:tcPr>
            <w:tcW w:w="84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w:t>
            </w:r>
          </w:p>
        </w:tc>
        <w:tc>
          <w:tcPr>
            <w:tcW w:w="601" w:type="dxa"/>
            <w:tcBorders>
              <w:bottom w:val="single" w:sz="8" w:space="0" w:color="000000"/>
            </w:tcBorders>
            <w:vAlign w:val="center"/>
          </w:tcPr>
          <w:p>
            <w:pPr>
              <w:pStyle w:val="TableContents"/>
              <w:bidi w:val="0"/>
              <w:spacing w:before="0" w:after="283"/>
              <w:jc w:val="center"/>
              <w:rPr>
                <w:b/>
                <w:sz w:val="20"/>
              </w:rPr>
            </w:pPr>
            <w:r>
              <w:rPr>
                <w:b/>
                <w:sz w:val="20"/>
              </w:rPr>
              <w:t>CTA</w:t>
            </w:r>
            <w:r>
              <w:rPr>
                <w:b/>
                <w:position w:val="7"/>
                <w:sz w:val="16"/>
                <w:sz w:val="20"/>
              </w:rPr>
              <w:t>(*)</w:t>
            </w:r>
          </w:p>
        </w:tc>
        <w:tc>
          <w:tcPr>
            <w:tcW w:w="1233" w:type="dxa"/>
            <w:tcBorders>
              <w:bottom w:val="single" w:sz="8" w:space="0" w:color="000000"/>
            </w:tcBorders>
            <w:vAlign w:val="center"/>
          </w:tcPr>
          <w:p>
            <w:pPr>
              <w:pStyle w:val="TableContents"/>
              <w:bidi w:val="0"/>
              <w:spacing w:before="0" w:after="283"/>
              <w:jc w:val="center"/>
              <w:rPr>
                <w:b/>
                <w:sz w:val="20"/>
              </w:rPr>
            </w:pPr>
            <w:r>
              <w:rPr>
                <w:b/>
                <w:sz w:val="20"/>
              </w:rPr>
              <w:t>Closing balance</w:t>
            </w:r>
          </w:p>
        </w:tc>
      </w:tr>
      <w:tr>
        <w:trPr/>
        <w:tc>
          <w:tcPr>
            <w:tcW w:w="2914" w:type="dxa"/>
            <w:tcBorders/>
            <w:tcMar>
              <w:bottom w:w="0" w:type="dxa"/>
            </w:tcMar>
            <w:vAlign w:val="center"/>
          </w:tcPr>
          <w:p>
            <w:pPr>
              <w:pStyle w:val="TableContents"/>
              <w:bidi w:val="0"/>
              <w:spacing w:before="0" w:after="283"/>
              <w:jc w:val="left"/>
              <w:rPr/>
            </w:pPr>
            <w:r>
              <w:rPr/>
              <w:t> </w:t>
            </w:r>
          </w:p>
        </w:tc>
        <w:tc>
          <w:tcPr>
            <w:tcW w:w="1288"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left"/>
              <w:rPr/>
            </w:pPr>
            <w:r>
              <w:rPr/>
              <w:t> </w:t>
            </w:r>
          </w:p>
        </w:tc>
        <w:tc>
          <w:tcPr>
            <w:tcW w:w="1679" w:type="dxa"/>
            <w:tcBorders/>
            <w:tcMar>
              <w:bottom w:w="0" w:type="dxa"/>
            </w:tcMar>
            <w:vAlign w:val="center"/>
          </w:tcPr>
          <w:p>
            <w:pPr>
              <w:pStyle w:val="TableContents"/>
              <w:bidi w:val="0"/>
              <w:spacing w:before="0" w:after="283"/>
              <w:jc w:val="right"/>
              <w:rPr/>
            </w:pPr>
            <w:r>
              <w:rPr/>
              <w:t> </w:t>
            </w:r>
          </w:p>
        </w:tc>
        <w:tc>
          <w:tcPr>
            <w:tcW w:w="845" w:type="dxa"/>
            <w:tcBorders/>
            <w:tcMar>
              <w:bottom w:w="0" w:type="dxa"/>
            </w:tcMar>
            <w:vAlign w:val="center"/>
          </w:tcPr>
          <w:p>
            <w:pPr>
              <w:pStyle w:val="TableContents"/>
              <w:bidi w:val="0"/>
              <w:spacing w:before="0" w:after="283"/>
              <w:jc w:val="right"/>
              <w:rPr/>
            </w:pPr>
            <w:r>
              <w:rPr/>
              <w:t> </w:t>
            </w:r>
          </w:p>
        </w:tc>
        <w:tc>
          <w:tcPr>
            <w:tcW w:w="601" w:type="dxa"/>
            <w:tcBorders/>
            <w:tcMar>
              <w:bottom w:w="0" w:type="dxa"/>
            </w:tcMar>
            <w:vAlign w:val="center"/>
          </w:tcPr>
          <w:p>
            <w:pPr>
              <w:pStyle w:val="TableContents"/>
              <w:bidi w:val="0"/>
              <w:spacing w:before="0" w:after="283"/>
              <w:jc w:val="left"/>
              <w:rPr/>
            </w:pPr>
            <w:r>
              <w:rPr/>
              <w:t> </w:t>
            </w:r>
          </w:p>
        </w:tc>
        <w:tc>
          <w:tcPr>
            <w:tcW w:w="1233" w:type="dxa"/>
            <w:tcBorders/>
            <w:tcMar>
              <w:bottom w:w="0" w:type="dxa"/>
            </w:tcMar>
            <w:vAlign w:val="center"/>
          </w:tcPr>
          <w:p>
            <w:pPr>
              <w:pStyle w:val="TableContents"/>
              <w:bidi w:val="0"/>
              <w:spacing w:before="0" w:after="283"/>
              <w:jc w:val="left"/>
              <w:rPr/>
            </w:pPr>
            <w:r>
              <w:rPr/>
              <w:t> </w:t>
            </w:r>
          </w:p>
        </w:tc>
      </w:tr>
      <w:tr>
        <w:trPr/>
        <w:tc>
          <w:tcPr>
            <w:tcW w:w="2914" w:type="dxa"/>
            <w:tcBorders/>
            <w:shd w:fill="D5EAEA" w:val="clear"/>
            <w:tcMar>
              <w:bottom w:w="0" w:type="dxa"/>
            </w:tcMar>
            <w:vAlign w:val="center"/>
          </w:tcPr>
          <w:p>
            <w:pPr>
              <w:pStyle w:val="TableContents"/>
              <w:bidi w:val="0"/>
              <w:spacing w:before="0" w:after="283"/>
              <w:jc w:val="left"/>
              <w:rPr>
                <w:sz w:val="20"/>
              </w:rPr>
            </w:pPr>
            <w:r>
              <w:rPr>
                <w:sz w:val="20"/>
              </w:rPr>
              <w:t>Furniture and fixtures</w:t>
            </w:r>
          </w:p>
        </w:tc>
        <w:tc>
          <w:tcPr>
            <w:tcW w:w="1288" w:type="dxa"/>
            <w:tcBorders/>
            <w:shd w:fill="D5EAEA" w:val="clear"/>
            <w:tcMar>
              <w:bottom w:w="0" w:type="dxa"/>
            </w:tcMar>
            <w:vAlign w:val="center"/>
          </w:tcPr>
          <w:p>
            <w:pPr>
              <w:pStyle w:val="TableContents"/>
              <w:bidi w:val="0"/>
              <w:spacing w:before="0" w:after="283"/>
              <w:jc w:val="right"/>
              <w:rPr>
                <w:sz w:val="20"/>
              </w:rPr>
            </w:pPr>
            <w:r>
              <w:rPr>
                <w:sz w:val="20"/>
              </w:rPr>
              <w:t>2,787</w:t>
            </w:r>
          </w:p>
        </w:tc>
        <w:tc>
          <w:tcPr>
            <w:tcW w:w="830" w:type="dxa"/>
            <w:tcBorders/>
            <w:shd w:fill="D5EAEA" w:val="clear"/>
            <w:tcMar>
              <w:bottom w:w="0" w:type="dxa"/>
            </w:tcMar>
            <w:vAlign w:val="center"/>
          </w:tcPr>
          <w:p>
            <w:pPr>
              <w:pStyle w:val="TableContents"/>
              <w:bidi w:val="0"/>
              <w:spacing w:before="0" w:after="283"/>
              <w:jc w:val="right"/>
              <w:rPr>
                <w:sz w:val="20"/>
              </w:rPr>
            </w:pPr>
            <w:r>
              <w:rPr>
                <w:sz w:val="20"/>
              </w:rPr>
              <w:t>24</w:t>
            </w:r>
          </w:p>
        </w:tc>
        <w:tc>
          <w:tcPr>
            <w:tcW w:w="815" w:type="dxa"/>
            <w:tcBorders/>
            <w:shd w:fill="D5EAEA" w:val="clear"/>
            <w:tcMar>
              <w:bottom w:w="0" w:type="dxa"/>
            </w:tcMar>
            <w:vAlign w:val="center"/>
          </w:tcPr>
          <w:p>
            <w:pPr>
              <w:pStyle w:val="TableContents"/>
              <w:bidi w:val="0"/>
              <w:spacing w:before="0" w:after="283"/>
              <w:jc w:val="right"/>
              <w:rPr>
                <w:sz w:val="20"/>
              </w:rPr>
            </w:pPr>
            <w:r>
              <w:rPr>
                <w:sz w:val="20"/>
              </w:rPr>
              <w:t>-</w:t>
            </w:r>
          </w:p>
        </w:tc>
        <w:tc>
          <w:tcPr>
            <w:tcW w:w="1679" w:type="dxa"/>
            <w:tcBorders/>
            <w:shd w:fill="D5EAEA" w:val="clear"/>
            <w:tcMar>
              <w:bottom w:w="0" w:type="dxa"/>
            </w:tcMar>
            <w:vAlign w:val="center"/>
          </w:tcPr>
          <w:p>
            <w:pPr>
              <w:pStyle w:val="TableContents"/>
              <w:bidi w:val="0"/>
              <w:spacing w:before="0" w:after="283"/>
              <w:jc w:val="right"/>
              <w:rPr>
                <w:sz w:val="20"/>
              </w:rPr>
            </w:pPr>
            <w:r>
              <w:rPr>
                <w:sz w:val="20"/>
              </w:rPr>
              <w:t>640</w:t>
            </w:r>
          </w:p>
        </w:tc>
        <w:tc>
          <w:tcPr>
            <w:tcW w:w="845" w:type="dxa"/>
            <w:tcBorders/>
            <w:shd w:fill="D5EAEA" w:val="clear"/>
            <w:tcMar>
              <w:bottom w:w="0" w:type="dxa"/>
            </w:tcMar>
            <w:vAlign w:val="center"/>
          </w:tcPr>
          <w:p>
            <w:pPr>
              <w:pStyle w:val="TableContents"/>
              <w:bidi w:val="0"/>
              <w:spacing w:before="0" w:after="283"/>
              <w:jc w:val="right"/>
              <w:rPr>
                <w:sz w:val="20"/>
              </w:rPr>
            </w:pPr>
            <w:r>
              <w:rPr>
                <w:sz w:val="20"/>
              </w:rPr>
              <w:t>-</w:t>
            </w:r>
          </w:p>
        </w:tc>
        <w:tc>
          <w:tcPr>
            <w:tcW w:w="601" w:type="dxa"/>
            <w:tcBorders/>
            <w:shd w:fill="D5EAEA" w:val="clear"/>
            <w:tcMar>
              <w:bottom w:w="0" w:type="dxa"/>
            </w:tcMar>
            <w:vAlign w:val="center"/>
          </w:tcPr>
          <w:p>
            <w:pPr>
              <w:pStyle w:val="TableContents"/>
              <w:bidi w:val="0"/>
              <w:spacing w:before="0" w:after="283"/>
              <w:jc w:val="right"/>
              <w:rPr>
                <w:sz w:val="20"/>
              </w:rPr>
            </w:pPr>
            <w:r>
              <w:rPr>
                <w:sz w:val="20"/>
              </w:rPr>
              <w:t>73</w:t>
            </w:r>
          </w:p>
        </w:tc>
        <w:tc>
          <w:tcPr>
            <w:tcW w:w="1233" w:type="dxa"/>
            <w:tcBorders/>
            <w:shd w:fill="D5EAEA" w:val="clear"/>
            <w:tcMar>
              <w:bottom w:w="0" w:type="dxa"/>
            </w:tcMar>
            <w:vAlign w:val="center"/>
          </w:tcPr>
          <w:p>
            <w:pPr>
              <w:pStyle w:val="TableContents"/>
              <w:bidi w:val="0"/>
              <w:spacing w:before="0" w:after="283"/>
              <w:jc w:val="right"/>
              <w:rPr>
                <w:sz w:val="20"/>
              </w:rPr>
            </w:pPr>
            <w:r>
              <w:rPr>
                <w:sz w:val="20"/>
              </w:rPr>
              <w:t>3,524</w:t>
            </w:r>
          </w:p>
        </w:tc>
      </w:tr>
      <w:tr>
        <w:trPr/>
        <w:tc>
          <w:tcPr>
            <w:tcW w:w="2914" w:type="dxa"/>
            <w:tcBorders/>
            <w:shd w:fill="FFFFFF" w:val="clear"/>
            <w:tcMar>
              <w:bottom w:w="0" w:type="dxa"/>
            </w:tcMar>
            <w:vAlign w:val="center"/>
          </w:tcPr>
          <w:p>
            <w:pPr>
              <w:pStyle w:val="TableContents"/>
              <w:bidi w:val="0"/>
              <w:spacing w:before="0" w:after="283"/>
              <w:jc w:val="left"/>
              <w:rPr>
                <w:sz w:val="20"/>
              </w:rPr>
            </w:pPr>
            <w:r>
              <w:rPr>
                <w:sz w:val="20"/>
              </w:rPr>
              <w:t>Building improvements</w:t>
            </w:r>
          </w:p>
        </w:tc>
        <w:tc>
          <w:tcPr>
            <w:tcW w:w="1288" w:type="dxa"/>
            <w:tcBorders/>
            <w:shd w:fill="FFFFFF" w:val="clear"/>
            <w:tcMar>
              <w:bottom w:w="0" w:type="dxa"/>
            </w:tcMar>
            <w:vAlign w:val="center"/>
          </w:tcPr>
          <w:p>
            <w:pPr>
              <w:pStyle w:val="TableContents"/>
              <w:bidi w:val="0"/>
              <w:spacing w:before="0" w:after="283"/>
              <w:jc w:val="right"/>
              <w:rPr>
                <w:sz w:val="20"/>
              </w:rPr>
            </w:pPr>
            <w:r>
              <w:rPr>
                <w:sz w:val="20"/>
              </w:rPr>
              <w:t>16,019</w:t>
            </w:r>
          </w:p>
        </w:tc>
        <w:tc>
          <w:tcPr>
            <w:tcW w:w="830" w:type="dxa"/>
            <w:tcBorders/>
            <w:shd w:fill="FFFFFF" w:val="clear"/>
            <w:tcMar>
              <w:bottom w:w="0" w:type="dxa"/>
            </w:tcMar>
            <w:vAlign w:val="center"/>
          </w:tcPr>
          <w:p>
            <w:pPr>
              <w:pStyle w:val="TableContents"/>
              <w:bidi w:val="0"/>
              <w:spacing w:before="0" w:after="283"/>
              <w:jc w:val="right"/>
              <w:rPr>
                <w:sz w:val="20"/>
              </w:rPr>
            </w:pPr>
            <w:r>
              <w:rPr>
                <w:sz w:val="20"/>
              </w:rPr>
              <w:t>242</w:t>
            </w:r>
          </w:p>
        </w:tc>
        <w:tc>
          <w:tcPr>
            <w:tcW w:w="815" w:type="dxa"/>
            <w:tcBorders/>
            <w:shd w:fill="FFFFFF" w:val="clear"/>
            <w:tcMar>
              <w:bottom w:w="0" w:type="dxa"/>
            </w:tcMar>
            <w:vAlign w:val="center"/>
          </w:tcPr>
          <w:p>
            <w:pPr>
              <w:pStyle w:val="TableContents"/>
              <w:bidi w:val="0"/>
              <w:spacing w:before="0" w:after="283"/>
              <w:jc w:val="right"/>
              <w:rPr>
                <w:sz w:val="20"/>
              </w:rPr>
            </w:pPr>
            <w:r>
              <w:rPr>
                <w:sz w:val="20"/>
              </w:rPr>
              <w:t>-</w:t>
            </w:r>
          </w:p>
        </w:tc>
        <w:tc>
          <w:tcPr>
            <w:tcW w:w="1679" w:type="dxa"/>
            <w:tcBorders/>
            <w:shd w:fill="FFFFFF" w:val="clear"/>
            <w:tcMar>
              <w:bottom w:w="0" w:type="dxa"/>
            </w:tcMar>
            <w:vAlign w:val="center"/>
          </w:tcPr>
          <w:p>
            <w:pPr>
              <w:pStyle w:val="TableContents"/>
              <w:bidi w:val="0"/>
              <w:spacing w:before="0" w:after="283"/>
              <w:jc w:val="right"/>
              <w:rPr>
                <w:sz w:val="20"/>
              </w:rPr>
            </w:pPr>
            <w:r>
              <w:rPr>
                <w:sz w:val="20"/>
              </w:rPr>
              <w:t>114</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1" w:type="dxa"/>
            <w:tcBorders/>
            <w:shd w:fill="FFFFFF" w:val="clear"/>
            <w:tcMar>
              <w:bottom w:w="0" w:type="dxa"/>
            </w:tcMar>
            <w:vAlign w:val="center"/>
          </w:tcPr>
          <w:p>
            <w:pPr>
              <w:pStyle w:val="TableContents"/>
              <w:bidi w:val="0"/>
              <w:spacing w:before="0" w:after="283"/>
              <w:jc w:val="right"/>
              <w:rPr>
                <w:sz w:val="20"/>
              </w:rPr>
            </w:pPr>
            <w:r>
              <w:rPr>
                <w:sz w:val="20"/>
              </w:rPr>
              <w:t>338</w:t>
            </w:r>
          </w:p>
        </w:tc>
        <w:tc>
          <w:tcPr>
            <w:tcW w:w="1233" w:type="dxa"/>
            <w:tcBorders/>
            <w:shd w:fill="FFFFFF" w:val="clear"/>
            <w:tcMar>
              <w:bottom w:w="0" w:type="dxa"/>
            </w:tcMar>
            <w:vAlign w:val="center"/>
          </w:tcPr>
          <w:p>
            <w:pPr>
              <w:pStyle w:val="TableContents"/>
              <w:bidi w:val="0"/>
              <w:spacing w:before="0" w:after="283"/>
              <w:jc w:val="right"/>
              <w:rPr>
                <w:sz w:val="20"/>
              </w:rPr>
            </w:pPr>
            <w:r>
              <w:rPr>
                <w:sz w:val="20"/>
              </w:rPr>
              <w:t>16,713</w:t>
            </w:r>
          </w:p>
        </w:tc>
      </w:tr>
      <w:tr>
        <w:trPr/>
        <w:tc>
          <w:tcPr>
            <w:tcW w:w="2914" w:type="dxa"/>
            <w:tcBorders/>
            <w:shd w:fill="D5EAEA" w:val="clear"/>
            <w:tcMar>
              <w:bottom w:w="0" w:type="dxa"/>
            </w:tcMar>
            <w:vAlign w:val="center"/>
          </w:tcPr>
          <w:p>
            <w:pPr>
              <w:pStyle w:val="TableContents"/>
              <w:bidi w:val="0"/>
              <w:spacing w:before="0" w:after="283"/>
              <w:jc w:val="left"/>
              <w:rPr>
                <w:sz w:val="20"/>
              </w:rPr>
            </w:pPr>
            <w:r>
              <w:rPr>
                <w:sz w:val="20"/>
              </w:rPr>
              <w:t>Work-in-progress</w:t>
            </w:r>
          </w:p>
        </w:tc>
        <w:tc>
          <w:tcPr>
            <w:tcW w:w="1288" w:type="dxa"/>
            <w:tcBorders/>
            <w:shd w:fill="D5EAEA" w:val="clear"/>
            <w:tcMar>
              <w:bottom w:w="0" w:type="dxa"/>
            </w:tcMar>
            <w:vAlign w:val="center"/>
          </w:tcPr>
          <w:p>
            <w:pPr>
              <w:pStyle w:val="TableContents"/>
              <w:bidi w:val="0"/>
              <w:spacing w:before="0" w:after="283"/>
              <w:jc w:val="right"/>
              <w:rPr>
                <w:sz w:val="20"/>
              </w:rPr>
            </w:pPr>
            <w:r>
              <w:rPr>
                <w:sz w:val="20"/>
              </w:rPr>
              <w:t>8,429</w:t>
            </w:r>
          </w:p>
        </w:tc>
        <w:tc>
          <w:tcPr>
            <w:tcW w:w="830" w:type="dxa"/>
            <w:tcBorders/>
            <w:shd w:fill="D5EAEA" w:val="clear"/>
            <w:tcMar>
              <w:bottom w:w="0" w:type="dxa"/>
            </w:tcMar>
            <w:vAlign w:val="center"/>
          </w:tcPr>
          <w:p>
            <w:pPr>
              <w:pStyle w:val="TableContents"/>
              <w:bidi w:val="0"/>
              <w:spacing w:before="0" w:after="283"/>
              <w:jc w:val="right"/>
              <w:rPr>
                <w:sz w:val="20"/>
              </w:rPr>
            </w:pPr>
            <w:r>
              <w:rPr>
                <w:sz w:val="20"/>
              </w:rPr>
              <w:t>1,543</w:t>
            </w:r>
          </w:p>
        </w:tc>
        <w:tc>
          <w:tcPr>
            <w:tcW w:w="815" w:type="dxa"/>
            <w:tcBorders/>
            <w:shd w:fill="D5EAEA" w:val="clear"/>
            <w:tcMar>
              <w:bottom w:w="0" w:type="dxa"/>
            </w:tcMar>
            <w:vAlign w:val="center"/>
          </w:tcPr>
          <w:p>
            <w:pPr>
              <w:pStyle w:val="TableContents"/>
              <w:bidi w:val="0"/>
              <w:spacing w:before="0" w:after="283"/>
              <w:jc w:val="right"/>
              <w:rPr>
                <w:sz w:val="20"/>
              </w:rPr>
            </w:pPr>
            <w:r>
              <w:rPr>
                <w:sz w:val="20"/>
              </w:rPr>
              <w:t>-</w:t>
            </w:r>
          </w:p>
        </w:tc>
        <w:tc>
          <w:tcPr>
            <w:tcW w:w="1679" w:type="dxa"/>
            <w:tcBorders/>
            <w:shd w:fill="D5EAEA" w:val="clear"/>
            <w:tcMar>
              <w:bottom w:w="0" w:type="dxa"/>
            </w:tcMar>
            <w:vAlign w:val="center"/>
          </w:tcPr>
          <w:p>
            <w:pPr>
              <w:pStyle w:val="TableContents"/>
              <w:bidi w:val="0"/>
              <w:spacing w:before="0" w:after="283"/>
              <w:jc w:val="right"/>
              <w:rPr>
                <w:sz w:val="20"/>
              </w:rPr>
            </w:pPr>
            <w:r>
              <w:rPr>
                <w:sz w:val="20"/>
              </w:rPr>
              <w:t>-</w:t>
            </w:r>
          </w:p>
        </w:tc>
        <w:tc>
          <w:tcPr>
            <w:tcW w:w="845" w:type="dxa"/>
            <w:tcBorders/>
            <w:shd w:fill="D5EAEA" w:val="clear"/>
            <w:tcMar>
              <w:bottom w:w="0" w:type="dxa"/>
            </w:tcMar>
            <w:vAlign w:val="center"/>
          </w:tcPr>
          <w:p>
            <w:pPr>
              <w:pStyle w:val="TableContents"/>
              <w:bidi w:val="0"/>
              <w:spacing w:before="0" w:after="283"/>
              <w:jc w:val="right"/>
              <w:rPr>
                <w:sz w:val="20"/>
              </w:rPr>
            </w:pPr>
            <w:r>
              <w:rPr>
                <w:sz w:val="20"/>
              </w:rPr>
              <w:t>-</w:t>
            </w:r>
          </w:p>
        </w:tc>
        <w:tc>
          <w:tcPr>
            <w:tcW w:w="601" w:type="dxa"/>
            <w:tcBorders/>
            <w:shd w:fill="D5EAEA" w:val="clear"/>
            <w:tcMar>
              <w:bottom w:w="0" w:type="dxa"/>
            </w:tcMar>
            <w:vAlign w:val="center"/>
          </w:tcPr>
          <w:p>
            <w:pPr>
              <w:pStyle w:val="TableContents"/>
              <w:bidi w:val="0"/>
              <w:spacing w:before="0" w:after="283"/>
              <w:jc w:val="right"/>
              <w:rPr>
                <w:sz w:val="20"/>
              </w:rPr>
            </w:pPr>
            <w:r>
              <w:rPr>
                <w:sz w:val="20"/>
              </w:rPr>
              <w:t>205</w:t>
            </w:r>
          </w:p>
        </w:tc>
        <w:tc>
          <w:tcPr>
            <w:tcW w:w="1233" w:type="dxa"/>
            <w:tcBorders/>
            <w:shd w:fill="D5EAEA" w:val="clear"/>
            <w:tcMar>
              <w:bottom w:w="0" w:type="dxa"/>
            </w:tcMar>
            <w:vAlign w:val="center"/>
          </w:tcPr>
          <w:p>
            <w:pPr>
              <w:pStyle w:val="TableContents"/>
              <w:bidi w:val="0"/>
              <w:spacing w:before="0" w:after="283"/>
              <w:jc w:val="right"/>
              <w:rPr>
                <w:sz w:val="20"/>
              </w:rPr>
            </w:pPr>
            <w:r>
              <w:rPr>
                <w:sz w:val="20"/>
              </w:rPr>
              <w:t>10,177</w:t>
            </w:r>
          </w:p>
        </w:tc>
      </w:tr>
      <w:tr>
        <w:trPr/>
        <w:tc>
          <w:tcPr>
            <w:tcW w:w="2914" w:type="dxa"/>
            <w:tcBorders/>
            <w:shd w:fill="FFFFFF" w:val="clear"/>
            <w:tcMar>
              <w:bottom w:w="0" w:type="dxa"/>
            </w:tcMar>
            <w:vAlign w:val="center"/>
          </w:tcPr>
          <w:p>
            <w:pPr>
              <w:pStyle w:val="TableContents"/>
              <w:bidi w:val="0"/>
              <w:spacing w:before="0" w:after="283"/>
              <w:jc w:val="left"/>
              <w:rPr>
                <w:sz w:val="20"/>
              </w:rPr>
            </w:pPr>
            <w:r>
              <w:rPr>
                <w:sz w:val="20"/>
              </w:rPr>
              <w:t>Office equipment</w:t>
            </w:r>
          </w:p>
        </w:tc>
        <w:tc>
          <w:tcPr>
            <w:tcW w:w="1288" w:type="dxa"/>
            <w:tcBorders/>
            <w:shd w:fill="FFFFFF" w:val="clear"/>
            <w:tcMar>
              <w:bottom w:w="0" w:type="dxa"/>
            </w:tcMar>
            <w:vAlign w:val="center"/>
          </w:tcPr>
          <w:p>
            <w:pPr>
              <w:pStyle w:val="TableContents"/>
              <w:bidi w:val="0"/>
              <w:spacing w:before="0" w:after="283"/>
              <w:jc w:val="right"/>
              <w:rPr>
                <w:sz w:val="20"/>
              </w:rPr>
            </w:pPr>
            <w:r>
              <w:rPr>
                <w:sz w:val="20"/>
              </w:rPr>
              <w:t>7,344</w:t>
            </w:r>
          </w:p>
        </w:tc>
        <w:tc>
          <w:tcPr>
            <w:tcW w:w="830" w:type="dxa"/>
            <w:tcBorders/>
            <w:shd w:fill="FFFFFF" w:val="clear"/>
            <w:tcMar>
              <w:bottom w:w="0" w:type="dxa"/>
            </w:tcMar>
            <w:vAlign w:val="center"/>
          </w:tcPr>
          <w:p>
            <w:pPr>
              <w:pStyle w:val="TableContents"/>
              <w:bidi w:val="0"/>
              <w:spacing w:before="0" w:after="283"/>
              <w:jc w:val="right"/>
              <w:rPr>
                <w:sz w:val="20"/>
              </w:rPr>
            </w:pPr>
            <w:r>
              <w:rPr>
                <w:sz w:val="20"/>
              </w:rPr>
              <w:t>152</w:t>
            </w:r>
          </w:p>
        </w:tc>
        <w:tc>
          <w:tcPr>
            <w:tcW w:w="815" w:type="dxa"/>
            <w:tcBorders/>
            <w:shd w:fill="FFFFFF" w:val="clear"/>
            <w:tcMar>
              <w:bottom w:w="0" w:type="dxa"/>
            </w:tcMar>
            <w:vAlign w:val="center"/>
          </w:tcPr>
          <w:p>
            <w:pPr>
              <w:pStyle w:val="TableContents"/>
              <w:bidi w:val="0"/>
              <w:spacing w:before="0" w:after="283"/>
              <w:jc w:val="right"/>
              <w:rPr>
                <w:sz w:val="20"/>
              </w:rPr>
            </w:pPr>
            <w:r>
              <w:rPr>
                <w:sz w:val="20"/>
              </w:rPr>
              <w:t>-</w:t>
            </w:r>
          </w:p>
        </w:tc>
        <w:tc>
          <w:tcPr>
            <w:tcW w:w="1679" w:type="dxa"/>
            <w:tcBorders/>
            <w:shd w:fill="FFFFFF" w:val="clear"/>
            <w:tcMar>
              <w:bottom w:w="0" w:type="dxa"/>
            </w:tcMar>
            <w:vAlign w:val="center"/>
          </w:tcPr>
          <w:p>
            <w:pPr>
              <w:pStyle w:val="TableContents"/>
              <w:bidi w:val="0"/>
              <w:spacing w:before="0" w:after="283"/>
              <w:jc w:val="right"/>
              <w:rPr>
                <w:sz w:val="20"/>
              </w:rPr>
            </w:pPr>
            <w:r>
              <w:rPr>
                <w:sz w:val="20"/>
              </w:rPr>
              <w:t>715</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1" w:type="dxa"/>
            <w:tcBorders/>
            <w:shd w:fill="FFFFFF" w:val="clear"/>
            <w:tcMar>
              <w:bottom w:w="0" w:type="dxa"/>
            </w:tcMar>
            <w:vAlign w:val="center"/>
          </w:tcPr>
          <w:p>
            <w:pPr>
              <w:pStyle w:val="TableContents"/>
              <w:bidi w:val="0"/>
              <w:spacing w:before="0" w:after="283"/>
              <w:jc w:val="right"/>
              <w:rPr>
                <w:sz w:val="20"/>
              </w:rPr>
            </w:pPr>
            <w:r>
              <w:rPr>
                <w:sz w:val="20"/>
              </w:rPr>
              <w:t>272</w:t>
            </w:r>
          </w:p>
        </w:tc>
        <w:tc>
          <w:tcPr>
            <w:tcW w:w="1233" w:type="dxa"/>
            <w:tcBorders/>
            <w:shd w:fill="FFFFFF" w:val="clear"/>
            <w:tcMar>
              <w:bottom w:w="0" w:type="dxa"/>
            </w:tcMar>
            <w:vAlign w:val="center"/>
          </w:tcPr>
          <w:p>
            <w:pPr>
              <w:pStyle w:val="TableContents"/>
              <w:bidi w:val="0"/>
              <w:spacing w:before="0" w:after="283"/>
              <w:jc w:val="right"/>
              <w:rPr>
                <w:sz w:val="20"/>
              </w:rPr>
            </w:pPr>
            <w:r>
              <w:rPr>
                <w:sz w:val="20"/>
              </w:rPr>
              <w:t>8,483</w:t>
            </w:r>
          </w:p>
        </w:tc>
      </w:tr>
      <w:tr>
        <w:trPr/>
        <w:tc>
          <w:tcPr>
            <w:tcW w:w="2914" w:type="dxa"/>
            <w:tcBorders/>
            <w:shd w:fill="D5EAEA" w:val="clear"/>
            <w:tcMar>
              <w:bottom w:w="0" w:type="dxa"/>
            </w:tcMar>
            <w:vAlign w:val="center"/>
          </w:tcPr>
          <w:p>
            <w:pPr>
              <w:pStyle w:val="TableContents"/>
              <w:bidi w:val="0"/>
              <w:spacing w:before="0" w:after="283"/>
              <w:jc w:val="left"/>
              <w:rPr>
                <w:sz w:val="20"/>
              </w:rPr>
            </w:pPr>
            <w:r>
              <w:rPr>
                <w:sz w:val="20"/>
              </w:rPr>
              <w:t>Right-of-use assets (a)</w:t>
            </w:r>
          </w:p>
        </w:tc>
        <w:tc>
          <w:tcPr>
            <w:tcW w:w="1288" w:type="dxa"/>
            <w:tcBorders/>
            <w:shd w:fill="D5EAEA" w:val="clear"/>
            <w:tcMar>
              <w:bottom w:w="0" w:type="dxa"/>
            </w:tcMar>
            <w:vAlign w:val="center"/>
          </w:tcPr>
          <w:p>
            <w:pPr>
              <w:pStyle w:val="TableContents"/>
              <w:bidi w:val="0"/>
              <w:spacing w:before="0" w:after="283"/>
              <w:jc w:val="right"/>
              <w:rPr>
                <w:sz w:val="20"/>
              </w:rPr>
            </w:pPr>
            <w:r>
              <w:rPr>
                <w:sz w:val="20"/>
              </w:rPr>
              <w:t>33,774</w:t>
            </w:r>
          </w:p>
        </w:tc>
        <w:tc>
          <w:tcPr>
            <w:tcW w:w="830" w:type="dxa"/>
            <w:tcBorders/>
            <w:shd w:fill="D5EAEA" w:val="clear"/>
            <w:tcMar>
              <w:bottom w:w="0" w:type="dxa"/>
            </w:tcMar>
            <w:vAlign w:val="center"/>
          </w:tcPr>
          <w:p>
            <w:pPr>
              <w:pStyle w:val="TableContents"/>
              <w:bidi w:val="0"/>
              <w:spacing w:before="0" w:after="283"/>
              <w:jc w:val="right"/>
              <w:rPr>
                <w:sz w:val="20"/>
              </w:rPr>
            </w:pPr>
            <w:r>
              <w:rPr>
                <w:sz w:val="20"/>
              </w:rPr>
              <w:t>1,693</w:t>
            </w:r>
          </w:p>
        </w:tc>
        <w:tc>
          <w:tcPr>
            <w:tcW w:w="815" w:type="dxa"/>
            <w:tcBorders/>
            <w:shd w:fill="D5EAEA" w:val="clear"/>
            <w:tcMar>
              <w:bottom w:w="0" w:type="dxa"/>
            </w:tcMar>
            <w:vAlign w:val="center"/>
          </w:tcPr>
          <w:p>
            <w:pPr>
              <w:pStyle w:val="TableContents"/>
              <w:bidi w:val="0"/>
              <w:spacing w:before="0" w:after="283"/>
              <w:jc w:val="right"/>
              <w:rPr>
                <w:sz w:val="20"/>
              </w:rPr>
            </w:pPr>
            <w:r>
              <w:rPr>
                <w:sz w:val="20"/>
              </w:rPr>
              <w:t>-</w:t>
            </w:r>
          </w:p>
        </w:tc>
        <w:tc>
          <w:tcPr>
            <w:tcW w:w="1679" w:type="dxa"/>
            <w:tcBorders/>
            <w:shd w:fill="D5EAEA" w:val="clear"/>
            <w:tcMar>
              <w:bottom w:w="0" w:type="dxa"/>
            </w:tcMar>
            <w:vAlign w:val="center"/>
          </w:tcPr>
          <w:p>
            <w:pPr>
              <w:pStyle w:val="TableContents"/>
              <w:bidi w:val="0"/>
              <w:spacing w:before="0" w:after="283"/>
              <w:jc w:val="right"/>
              <w:rPr>
                <w:sz w:val="20"/>
              </w:rPr>
            </w:pPr>
            <w:r>
              <w:rPr>
                <w:sz w:val="20"/>
              </w:rPr>
              <w:t>3,312</w:t>
            </w:r>
          </w:p>
        </w:tc>
        <w:tc>
          <w:tcPr>
            <w:tcW w:w="845" w:type="dxa"/>
            <w:tcBorders/>
            <w:shd w:fill="D5EAEA" w:val="clear"/>
            <w:tcMar>
              <w:bottom w:w="0" w:type="dxa"/>
            </w:tcMar>
            <w:vAlign w:val="center"/>
          </w:tcPr>
          <w:p>
            <w:pPr>
              <w:pStyle w:val="TableContents"/>
              <w:bidi w:val="0"/>
              <w:spacing w:before="0" w:after="283"/>
              <w:jc w:val="right"/>
              <w:rPr>
                <w:sz w:val="20"/>
              </w:rPr>
            </w:pPr>
            <w:r>
              <w:rPr>
                <w:sz w:val="20"/>
              </w:rPr>
              <w:t>-</w:t>
            </w:r>
          </w:p>
        </w:tc>
        <w:tc>
          <w:tcPr>
            <w:tcW w:w="601" w:type="dxa"/>
            <w:tcBorders/>
            <w:shd w:fill="D5EAEA" w:val="clear"/>
            <w:tcMar>
              <w:bottom w:w="0" w:type="dxa"/>
            </w:tcMar>
            <w:vAlign w:val="center"/>
          </w:tcPr>
          <w:p>
            <w:pPr>
              <w:pStyle w:val="TableContents"/>
              <w:bidi w:val="0"/>
              <w:spacing w:before="0" w:after="283"/>
              <w:jc w:val="right"/>
              <w:rPr>
                <w:sz w:val="20"/>
              </w:rPr>
            </w:pPr>
            <w:r>
              <w:rPr>
                <w:sz w:val="20"/>
              </w:rPr>
              <w:t>392</w:t>
            </w:r>
          </w:p>
        </w:tc>
        <w:tc>
          <w:tcPr>
            <w:tcW w:w="1233" w:type="dxa"/>
            <w:tcBorders/>
            <w:shd w:fill="D5EAEA" w:val="clear"/>
            <w:tcMar>
              <w:bottom w:w="0" w:type="dxa"/>
            </w:tcMar>
            <w:vAlign w:val="center"/>
          </w:tcPr>
          <w:p>
            <w:pPr>
              <w:pStyle w:val="TableContents"/>
              <w:bidi w:val="0"/>
              <w:spacing w:before="0" w:after="283"/>
              <w:jc w:val="right"/>
              <w:rPr>
                <w:sz w:val="20"/>
              </w:rPr>
            </w:pPr>
            <w:r>
              <w:rPr>
                <w:sz w:val="20"/>
              </w:rPr>
              <w:t>39,171</w:t>
            </w:r>
          </w:p>
        </w:tc>
      </w:tr>
      <w:tr>
        <w:trPr/>
        <w:tc>
          <w:tcPr>
            <w:tcW w:w="2914" w:type="dxa"/>
            <w:tcBorders/>
            <w:shd w:fill="FFFFFF" w:val="clear"/>
            <w:tcMar>
              <w:bottom w:w="0" w:type="dxa"/>
            </w:tcMar>
            <w:vAlign w:val="center"/>
          </w:tcPr>
          <w:p>
            <w:pPr>
              <w:pStyle w:val="TableContents"/>
              <w:bidi w:val="0"/>
              <w:spacing w:before="0" w:after="283"/>
              <w:jc w:val="left"/>
              <w:rPr>
                <w:sz w:val="20"/>
              </w:rPr>
            </w:pPr>
            <w:r>
              <w:rPr>
                <w:sz w:val="20"/>
              </w:rPr>
              <w:t>Artwork</w:t>
            </w:r>
          </w:p>
        </w:tc>
        <w:tc>
          <w:tcPr>
            <w:tcW w:w="1288" w:type="dxa"/>
            <w:tcBorders/>
            <w:shd w:fill="FFFFFF" w:val="clear"/>
            <w:tcMar>
              <w:bottom w:w="0" w:type="dxa"/>
            </w:tcMar>
            <w:vAlign w:val="center"/>
          </w:tcPr>
          <w:p>
            <w:pPr>
              <w:pStyle w:val="TableContents"/>
              <w:bidi w:val="0"/>
              <w:spacing w:before="0" w:after="283"/>
              <w:jc w:val="right"/>
              <w:rPr>
                <w:sz w:val="20"/>
              </w:rPr>
            </w:pPr>
            <w:r>
              <w:rPr>
                <w:sz w:val="20"/>
              </w:rPr>
              <w:t>-</w:t>
            </w:r>
          </w:p>
        </w:tc>
        <w:tc>
          <w:tcPr>
            <w:tcW w:w="830" w:type="dxa"/>
            <w:tcBorders/>
            <w:shd w:fill="FFFFFF" w:val="clear"/>
            <w:tcMar>
              <w:bottom w:w="0" w:type="dxa"/>
            </w:tcMar>
            <w:vAlign w:val="center"/>
          </w:tcPr>
          <w:p>
            <w:pPr>
              <w:pStyle w:val="TableContents"/>
              <w:bidi w:val="0"/>
              <w:spacing w:before="0" w:after="283"/>
              <w:jc w:val="right"/>
              <w:rPr>
                <w:sz w:val="20"/>
              </w:rPr>
            </w:pPr>
            <w:r>
              <w:rPr>
                <w:sz w:val="20"/>
              </w:rPr>
              <w:t>-</w:t>
            </w:r>
          </w:p>
        </w:tc>
        <w:tc>
          <w:tcPr>
            <w:tcW w:w="815" w:type="dxa"/>
            <w:tcBorders/>
            <w:shd w:fill="FFFFFF" w:val="clear"/>
            <w:tcMar>
              <w:bottom w:w="0" w:type="dxa"/>
            </w:tcMar>
            <w:vAlign w:val="center"/>
          </w:tcPr>
          <w:p>
            <w:pPr>
              <w:pStyle w:val="TableContents"/>
              <w:bidi w:val="0"/>
              <w:spacing w:before="0" w:after="283"/>
              <w:jc w:val="right"/>
              <w:rPr>
                <w:sz w:val="20"/>
              </w:rPr>
            </w:pPr>
            <w:r>
              <w:rPr>
                <w:sz w:val="20"/>
              </w:rPr>
              <w:t>-</w:t>
            </w:r>
          </w:p>
        </w:tc>
        <w:tc>
          <w:tcPr>
            <w:tcW w:w="1679" w:type="dxa"/>
            <w:tcBorders/>
            <w:shd w:fill="FFFFFF" w:val="clear"/>
            <w:tcMar>
              <w:bottom w:w="0" w:type="dxa"/>
            </w:tcMar>
            <w:vAlign w:val="center"/>
          </w:tcPr>
          <w:p>
            <w:pPr>
              <w:pStyle w:val="TableContents"/>
              <w:bidi w:val="0"/>
              <w:spacing w:before="0" w:after="283"/>
              <w:jc w:val="right"/>
              <w:rPr>
                <w:sz w:val="20"/>
              </w:rPr>
            </w:pPr>
            <w:r>
              <w:rPr>
                <w:sz w:val="20"/>
              </w:rPr>
              <w:t>90</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1" w:type="dxa"/>
            <w:tcBorders/>
            <w:shd w:fill="FFFFFF" w:val="clear"/>
            <w:tcMar>
              <w:bottom w:w="0" w:type="dxa"/>
            </w:tcMar>
            <w:vAlign w:val="center"/>
          </w:tcPr>
          <w:p>
            <w:pPr>
              <w:pStyle w:val="TableContents"/>
              <w:bidi w:val="0"/>
              <w:spacing w:before="0" w:after="283"/>
              <w:jc w:val="right"/>
              <w:rPr>
                <w:sz w:val="20"/>
              </w:rPr>
            </w:pPr>
            <w:r>
              <w:rPr>
                <w:sz w:val="20"/>
              </w:rPr>
              <w:t>-</w:t>
            </w:r>
          </w:p>
        </w:tc>
        <w:tc>
          <w:tcPr>
            <w:tcW w:w="1233" w:type="dxa"/>
            <w:tcBorders/>
            <w:shd w:fill="FFFFFF" w:val="clear"/>
            <w:tcMar>
              <w:bottom w:w="0" w:type="dxa"/>
            </w:tcMar>
            <w:vAlign w:val="center"/>
          </w:tcPr>
          <w:p>
            <w:pPr>
              <w:pStyle w:val="TableContents"/>
              <w:bidi w:val="0"/>
              <w:spacing w:before="0" w:after="283"/>
              <w:jc w:val="right"/>
              <w:rPr>
                <w:sz w:val="20"/>
              </w:rPr>
            </w:pPr>
            <w:r>
              <w:rPr>
                <w:sz w:val="20"/>
              </w:rPr>
              <w:t>90</w:t>
            </w:r>
          </w:p>
        </w:tc>
      </w:tr>
      <w:tr>
        <w:trPr/>
        <w:tc>
          <w:tcPr>
            <w:tcW w:w="2914" w:type="dxa"/>
            <w:tcBorders>
              <w:bottom w:val="single" w:sz="8" w:space="0" w:color="000000"/>
            </w:tcBorders>
            <w:shd w:fill="D5EAEA" w:val="clear"/>
            <w:vAlign w:val="center"/>
          </w:tcPr>
          <w:p>
            <w:pPr>
              <w:pStyle w:val="TableContents"/>
              <w:bidi w:val="0"/>
              <w:spacing w:before="0" w:after="283"/>
              <w:jc w:val="left"/>
              <w:rPr/>
            </w:pPr>
            <w:r>
              <w:rPr/>
              <w:t> </w:t>
            </w:r>
          </w:p>
        </w:tc>
        <w:tc>
          <w:tcPr>
            <w:tcW w:w="1288" w:type="dxa"/>
            <w:tcBorders>
              <w:bottom w:val="single" w:sz="8" w:space="0" w:color="000000"/>
            </w:tcBorders>
            <w:shd w:fill="D5EAEA" w:val="clear"/>
            <w:vAlign w:val="center"/>
          </w:tcPr>
          <w:p>
            <w:pPr>
              <w:pStyle w:val="TableContents"/>
              <w:bidi w:val="0"/>
              <w:spacing w:before="0" w:after="283"/>
              <w:jc w:val="right"/>
              <w:rPr/>
            </w:pPr>
            <w:r>
              <w:rPr/>
              <w:t> </w:t>
            </w:r>
          </w:p>
        </w:tc>
        <w:tc>
          <w:tcPr>
            <w:tcW w:w="830" w:type="dxa"/>
            <w:tcBorders>
              <w:bottom w:val="single" w:sz="8" w:space="0" w:color="000000"/>
            </w:tcBorders>
            <w:shd w:fill="D5EAEA" w:val="clear"/>
            <w:vAlign w:val="center"/>
          </w:tcPr>
          <w:p>
            <w:pPr>
              <w:pStyle w:val="TableContents"/>
              <w:bidi w:val="0"/>
              <w:spacing w:before="0" w:after="283"/>
              <w:jc w:val="right"/>
              <w:rPr/>
            </w:pPr>
            <w:r>
              <w:rPr/>
              <w:t> </w:t>
            </w:r>
          </w:p>
        </w:tc>
        <w:tc>
          <w:tcPr>
            <w:tcW w:w="815" w:type="dxa"/>
            <w:tcBorders>
              <w:bottom w:val="single" w:sz="8" w:space="0" w:color="000000"/>
            </w:tcBorders>
            <w:shd w:fill="D5EAEA" w:val="clear"/>
            <w:vAlign w:val="center"/>
          </w:tcPr>
          <w:p>
            <w:pPr>
              <w:pStyle w:val="TableContents"/>
              <w:bidi w:val="0"/>
              <w:spacing w:before="0" w:after="283"/>
              <w:jc w:val="right"/>
              <w:rPr/>
            </w:pPr>
            <w:r>
              <w:rPr/>
              <w:t> </w:t>
            </w:r>
          </w:p>
        </w:tc>
        <w:tc>
          <w:tcPr>
            <w:tcW w:w="1679" w:type="dxa"/>
            <w:tcBorders>
              <w:bottom w:val="single" w:sz="8" w:space="0" w:color="000000"/>
            </w:tcBorders>
            <w:shd w:fill="D5EAEA" w:val="clear"/>
            <w:vAlign w:val="center"/>
          </w:tcPr>
          <w:p>
            <w:pPr>
              <w:pStyle w:val="TableContents"/>
              <w:bidi w:val="0"/>
              <w:spacing w:before="0" w:after="283"/>
              <w:jc w:val="right"/>
              <w:rPr/>
            </w:pPr>
            <w:r>
              <w:rPr/>
              <w:t> </w:t>
            </w:r>
          </w:p>
        </w:tc>
        <w:tc>
          <w:tcPr>
            <w:tcW w:w="845" w:type="dxa"/>
            <w:tcBorders>
              <w:bottom w:val="single" w:sz="8" w:space="0" w:color="000000"/>
            </w:tcBorders>
            <w:shd w:fill="D5EAEA" w:val="clear"/>
            <w:vAlign w:val="center"/>
          </w:tcPr>
          <w:p>
            <w:pPr>
              <w:pStyle w:val="TableContents"/>
              <w:bidi w:val="0"/>
              <w:spacing w:before="0" w:after="283"/>
              <w:jc w:val="right"/>
              <w:rPr/>
            </w:pPr>
            <w:r>
              <w:rPr/>
              <w:t> </w:t>
            </w:r>
          </w:p>
        </w:tc>
        <w:tc>
          <w:tcPr>
            <w:tcW w:w="601" w:type="dxa"/>
            <w:tcBorders>
              <w:bottom w:val="single" w:sz="8" w:space="0" w:color="000000"/>
            </w:tcBorders>
            <w:shd w:fill="D5EAEA" w:val="clear"/>
            <w:vAlign w:val="center"/>
          </w:tcPr>
          <w:p>
            <w:pPr>
              <w:pStyle w:val="TableContents"/>
              <w:bidi w:val="0"/>
              <w:spacing w:before="0" w:after="283"/>
              <w:jc w:val="right"/>
              <w:rPr/>
            </w:pPr>
            <w:r>
              <w:rPr/>
              <w:t> </w:t>
            </w:r>
          </w:p>
        </w:tc>
        <w:tc>
          <w:tcPr>
            <w:tcW w:w="1233" w:type="dxa"/>
            <w:tcBorders>
              <w:bottom w:val="single" w:sz="8" w:space="0" w:color="000000"/>
            </w:tcBorders>
            <w:shd w:fill="D5EAEA" w:val="clear"/>
            <w:vAlign w:val="center"/>
          </w:tcPr>
          <w:p>
            <w:pPr>
              <w:pStyle w:val="TableContents"/>
              <w:bidi w:val="0"/>
              <w:spacing w:before="0" w:after="283"/>
              <w:jc w:val="right"/>
              <w:rPr/>
            </w:pPr>
            <w:r>
              <w:rPr/>
              <w:t> </w:t>
            </w:r>
          </w:p>
        </w:tc>
      </w:tr>
      <w:tr>
        <w:trPr/>
        <w:tc>
          <w:tcPr>
            <w:tcW w:w="2914" w:type="dxa"/>
            <w:tcBorders>
              <w:bottom w:val="single" w:sz="12" w:space="0" w:color="000000"/>
            </w:tcBorders>
            <w:shd w:fill="FFFFFF" w:val="clear"/>
            <w:vAlign w:val="center"/>
          </w:tcPr>
          <w:p>
            <w:pPr>
              <w:pStyle w:val="TableContents"/>
              <w:bidi w:val="0"/>
              <w:spacing w:before="0" w:after="283"/>
              <w:jc w:val="left"/>
              <w:rPr>
                <w:b/>
                <w:sz w:val="20"/>
              </w:rPr>
            </w:pPr>
            <w:r>
              <w:rPr>
                <w:b/>
                <w:sz w:val="20"/>
              </w:rPr>
              <w:t>Total - Cost of Property and equipment</w:t>
            </w:r>
          </w:p>
        </w:tc>
        <w:tc>
          <w:tcPr>
            <w:tcW w:w="1288" w:type="dxa"/>
            <w:tcBorders>
              <w:bottom w:val="single" w:sz="12" w:space="0" w:color="000000"/>
            </w:tcBorders>
            <w:shd w:fill="FFFFFF" w:val="clear"/>
            <w:vAlign w:val="center"/>
          </w:tcPr>
          <w:p>
            <w:pPr>
              <w:pStyle w:val="TableContents"/>
              <w:bidi w:val="0"/>
              <w:spacing w:before="0" w:after="283"/>
              <w:jc w:val="right"/>
              <w:rPr>
                <w:b/>
                <w:sz w:val="20"/>
              </w:rPr>
            </w:pPr>
            <w:r>
              <w:rPr>
                <w:b/>
                <w:sz w:val="20"/>
              </w:rPr>
              <w:t>68,353</w:t>
            </w:r>
          </w:p>
        </w:tc>
        <w:tc>
          <w:tcPr>
            <w:tcW w:w="830" w:type="dxa"/>
            <w:tcBorders>
              <w:bottom w:val="single" w:sz="12" w:space="0" w:color="000000"/>
            </w:tcBorders>
            <w:shd w:fill="FFFFFF" w:val="clear"/>
            <w:vAlign w:val="center"/>
          </w:tcPr>
          <w:p>
            <w:pPr>
              <w:pStyle w:val="TableContents"/>
              <w:bidi w:val="0"/>
              <w:spacing w:before="0" w:after="283"/>
              <w:jc w:val="right"/>
              <w:rPr>
                <w:b/>
                <w:sz w:val="20"/>
              </w:rPr>
            </w:pPr>
            <w:r>
              <w:rPr>
                <w:b/>
                <w:sz w:val="20"/>
              </w:rPr>
              <w:t>3,654</w:t>
            </w:r>
          </w:p>
        </w:tc>
        <w:tc>
          <w:tcPr>
            <w:tcW w:w="815" w:type="dxa"/>
            <w:tcBorders>
              <w:bottom w:val="single" w:sz="12" w:space="0" w:color="000000"/>
            </w:tcBorders>
            <w:shd w:fill="FFFFFF" w:val="clear"/>
            <w:vAlign w:val="center"/>
          </w:tcPr>
          <w:p>
            <w:pPr>
              <w:pStyle w:val="TableContents"/>
              <w:bidi w:val="0"/>
              <w:spacing w:before="0" w:after="283"/>
              <w:jc w:val="right"/>
              <w:rPr>
                <w:sz w:val="20"/>
              </w:rPr>
            </w:pPr>
            <w:r>
              <w:rPr>
                <w:sz w:val="20"/>
              </w:rPr>
              <w:t>-</w:t>
            </w:r>
          </w:p>
        </w:tc>
        <w:tc>
          <w:tcPr>
            <w:tcW w:w="1679" w:type="dxa"/>
            <w:tcBorders>
              <w:bottom w:val="single" w:sz="12" w:space="0" w:color="000000"/>
            </w:tcBorders>
            <w:shd w:fill="FFFFFF" w:val="clear"/>
            <w:vAlign w:val="center"/>
          </w:tcPr>
          <w:p>
            <w:pPr>
              <w:pStyle w:val="TableContents"/>
              <w:bidi w:val="0"/>
              <w:spacing w:before="0" w:after="283"/>
              <w:jc w:val="right"/>
              <w:rPr>
                <w:b/>
                <w:sz w:val="20"/>
              </w:rPr>
            </w:pPr>
            <w:r>
              <w:rPr>
                <w:b/>
                <w:sz w:val="20"/>
              </w:rPr>
              <w:t>4,871</w:t>
            </w:r>
          </w:p>
        </w:tc>
        <w:tc>
          <w:tcPr>
            <w:tcW w:w="845" w:type="dxa"/>
            <w:tcBorders>
              <w:bottom w:val="single" w:sz="12" w:space="0" w:color="000000"/>
            </w:tcBorders>
            <w:shd w:fill="FFFFFF" w:val="clear"/>
            <w:vAlign w:val="center"/>
          </w:tcPr>
          <w:p>
            <w:pPr>
              <w:pStyle w:val="TableContents"/>
              <w:bidi w:val="0"/>
              <w:spacing w:before="0" w:after="283"/>
              <w:jc w:val="right"/>
              <w:rPr>
                <w:b/>
                <w:sz w:val="20"/>
              </w:rPr>
            </w:pPr>
            <w:r>
              <w:rPr>
                <w:b/>
                <w:sz w:val="20"/>
              </w:rPr>
              <w:t>-</w:t>
            </w:r>
          </w:p>
        </w:tc>
        <w:tc>
          <w:tcPr>
            <w:tcW w:w="601" w:type="dxa"/>
            <w:tcBorders>
              <w:bottom w:val="single" w:sz="12" w:space="0" w:color="000000"/>
            </w:tcBorders>
            <w:shd w:fill="FFFFFF" w:val="clear"/>
            <w:vAlign w:val="center"/>
          </w:tcPr>
          <w:p>
            <w:pPr>
              <w:pStyle w:val="TableContents"/>
              <w:bidi w:val="0"/>
              <w:spacing w:before="0" w:after="283"/>
              <w:jc w:val="right"/>
              <w:rPr>
                <w:b/>
                <w:sz w:val="20"/>
              </w:rPr>
            </w:pPr>
            <w:r>
              <w:rPr>
                <w:b/>
                <w:sz w:val="20"/>
              </w:rPr>
              <w:t>1,280</w:t>
            </w:r>
          </w:p>
        </w:tc>
        <w:tc>
          <w:tcPr>
            <w:tcW w:w="1233" w:type="dxa"/>
            <w:tcBorders>
              <w:bottom w:val="single" w:sz="12" w:space="0" w:color="000000"/>
            </w:tcBorders>
            <w:shd w:fill="FFFFFF" w:val="clear"/>
            <w:vAlign w:val="center"/>
          </w:tcPr>
          <w:p>
            <w:pPr>
              <w:pStyle w:val="TableContents"/>
              <w:bidi w:val="0"/>
              <w:spacing w:before="0" w:after="283"/>
              <w:jc w:val="right"/>
              <w:rPr>
                <w:b/>
                <w:sz w:val="20"/>
              </w:rPr>
            </w:pPr>
            <w:r>
              <w:rPr>
                <w:b/>
                <w:sz w:val="20"/>
              </w:rPr>
              <w:t>78,158</w:t>
            </w:r>
          </w:p>
        </w:tc>
      </w:tr>
      <w:tr>
        <w:trPr/>
        <w:tc>
          <w:tcPr>
            <w:tcW w:w="10205" w:type="dxa"/>
            <w:gridSpan w:val="8"/>
            <w:tcBorders/>
            <w:shd w:fill="FFFFFF" w:val="clear"/>
            <w:tcMar>
              <w:bottom w:w="0" w:type="dxa"/>
            </w:tcMar>
            <w:vAlign w:val="center"/>
          </w:tcPr>
          <w:p>
            <w:pPr>
              <w:pStyle w:val="TableContents"/>
              <w:bidi w:val="0"/>
              <w:spacing w:before="0" w:after="283"/>
              <w:jc w:val="center"/>
              <w:rPr/>
            </w:pPr>
            <w:r>
              <w:rPr/>
              <w:t> </w:t>
            </w:r>
          </w:p>
        </w:tc>
      </w:tr>
      <w:tr>
        <w:trPr/>
        <w:tc>
          <w:tcPr>
            <w:tcW w:w="2914" w:type="dxa"/>
            <w:tcBorders>
              <w:bottom w:val="single" w:sz="8" w:space="0" w:color="000000"/>
            </w:tcBorders>
            <w:shd w:fill="FFFFFF" w:val="clear"/>
            <w:vAlign w:val="center"/>
          </w:tcPr>
          <w:p>
            <w:pPr>
              <w:pStyle w:val="TableContents"/>
              <w:bidi w:val="0"/>
              <w:spacing w:before="0" w:after="283"/>
              <w:jc w:val="left"/>
              <w:rPr/>
            </w:pPr>
            <w:r>
              <w:rPr/>
              <w:t> </w:t>
            </w:r>
          </w:p>
        </w:tc>
        <w:tc>
          <w:tcPr>
            <w:tcW w:w="7291" w:type="dxa"/>
            <w:gridSpan w:val="7"/>
            <w:tcBorders>
              <w:bottom w:val="single" w:sz="8" w:space="0" w:color="000000"/>
            </w:tcBorders>
            <w:shd w:fill="FFFFFF" w:val="clear"/>
            <w:vAlign w:val="center"/>
          </w:tcPr>
          <w:p>
            <w:pPr>
              <w:pStyle w:val="TableContents"/>
              <w:bidi w:val="0"/>
              <w:spacing w:before="0" w:after="283"/>
              <w:jc w:val="center"/>
              <w:rPr>
                <w:b/>
                <w:sz w:val="20"/>
              </w:rPr>
            </w:pPr>
            <w:r>
              <w:rPr>
                <w:b/>
                <w:sz w:val="20"/>
              </w:rPr>
              <w:t>Six-month period ended June 30, 2026</w:t>
            </w:r>
          </w:p>
        </w:tc>
      </w:tr>
      <w:tr>
        <w:trPr/>
        <w:tc>
          <w:tcPr>
            <w:tcW w:w="2914" w:type="dxa"/>
            <w:tcBorders>
              <w:bottom w:val="single" w:sz="8" w:space="0" w:color="000000"/>
            </w:tcBorders>
            <w:shd w:fill="FFFFFF" w:val="clear"/>
            <w:vAlign w:val="center"/>
          </w:tcPr>
          <w:p>
            <w:pPr>
              <w:pStyle w:val="TableContents"/>
              <w:bidi w:val="0"/>
              <w:spacing w:before="0" w:after="283"/>
              <w:jc w:val="center"/>
              <w:rPr>
                <w:b/>
                <w:i/>
                <w:sz w:val="20"/>
              </w:rPr>
            </w:pPr>
            <w:r>
              <w:rPr>
                <w:b/>
                <w:i/>
                <w:sz w:val="20"/>
              </w:rPr>
              <w:t>Changes in accumulated depreciation</w:t>
            </w:r>
          </w:p>
        </w:tc>
        <w:tc>
          <w:tcPr>
            <w:tcW w:w="1288" w:type="dxa"/>
            <w:tcBorders>
              <w:bottom w:val="single" w:sz="8" w:space="0" w:color="000000"/>
            </w:tcBorders>
            <w:shd w:fill="FFFFFF" w:val="clear"/>
            <w:vAlign w:val="center"/>
          </w:tcPr>
          <w:p>
            <w:pPr>
              <w:pStyle w:val="TableContents"/>
              <w:bidi w:val="0"/>
              <w:spacing w:before="0" w:after="283"/>
              <w:jc w:val="center"/>
              <w:rPr>
                <w:b/>
                <w:sz w:val="20"/>
              </w:rPr>
            </w:pPr>
            <w:r>
              <w:rPr>
                <w:b/>
                <w:sz w:val="20"/>
              </w:rPr>
              <w:t>Opening balance</w:t>
            </w:r>
          </w:p>
        </w:tc>
        <w:tc>
          <w:tcPr>
            <w:tcW w:w="830" w:type="dxa"/>
            <w:tcBorders>
              <w:bottom w:val="single" w:sz="8" w:space="0" w:color="000000"/>
            </w:tcBorders>
            <w:shd w:fill="FFFFFF" w:val="clear"/>
            <w:vAlign w:val="center"/>
          </w:tcPr>
          <w:p>
            <w:pPr>
              <w:pStyle w:val="TableContents"/>
              <w:bidi w:val="0"/>
              <w:spacing w:before="0" w:after="283"/>
              <w:jc w:val="center"/>
              <w:rPr>
                <w:b/>
                <w:sz w:val="20"/>
              </w:rPr>
            </w:pPr>
            <w:r>
              <w:rPr>
                <w:b/>
                <w:sz w:val="20"/>
              </w:rPr>
              <w:t>Additions</w:t>
            </w:r>
          </w:p>
        </w:tc>
        <w:tc>
          <w:tcPr>
            <w:tcW w:w="815" w:type="dxa"/>
            <w:tcBorders>
              <w:bottom w:val="single" w:sz="8" w:space="0" w:color="000000"/>
            </w:tcBorders>
            <w:shd w:fill="FFFFFF" w:val="clear"/>
            <w:vAlign w:val="center"/>
          </w:tcPr>
          <w:p>
            <w:pPr>
              <w:pStyle w:val="TableContents"/>
              <w:bidi w:val="0"/>
              <w:spacing w:before="0" w:after="283"/>
              <w:jc w:val="center"/>
              <w:rPr>
                <w:b/>
                <w:sz w:val="20"/>
              </w:rPr>
            </w:pPr>
            <w:r>
              <w:rPr>
                <w:b/>
                <w:sz w:val="20"/>
              </w:rPr>
              <w:t>Disposals</w:t>
            </w:r>
          </w:p>
        </w:tc>
        <w:tc>
          <w:tcPr>
            <w:tcW w:w="1679" w:type="dxa"/>
            <w:tcBorders>
              <w:bottom w:val="single" w:sz="8" w:space="0" w:color="000000"/>
            </w:tcBorders>
            <w:shd w:fill="FFFFFF" w:val="clear"/>
            <w:vAlign w:val="center"/>
          </w:tcPr>
          <w:p>
            <w:pPr>
              <w:pStyle w:val="TableContents"/>
              <w:bidi w:val="0"/>
              <w:spacing w:before="0" w:after="283"/>
              <w:jc w:val="center"/>
              <w:rPr>
                <w:b/>
                <w:sz w:val="20"/>
              </w:rPr>
            </w:pPr>
            <w:r>
              <w:rPr>
                <w:b/>
                <w:sz w:val="20"/>
              </w:rPr>
              <w:t>Business combination</w:t>
            </w:r>
          </w:p>
        </w:tc>
        <w:tc>
          <w:tcPr>
            <w:tcW w:w="84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w:t>
            </w:r>
          </w:p>
        </w:tc>
        <w:tc>
          <w:tcPr>
            <w:tcW w:w="601" w:type="dxa"/>
            <w:tcBorders>
              <w:bottom w:val="single" w:sz="8" w:space="0" w:color="000000"/>
            </w:tcBorders>
            <w:shd w:fill="FFFFFF" w:val="clear"/>
            <w:vAlign w:val="center"/>
          </w:tcPr>
          <w:p>
            <w:pPr>
              <w:pStyle w:val="TableContents"/>
              <w:bidi w:val="0"/>
              <w:spacing w:before="0" w:after="283"/>
              <w:jc w:val="center"/>
              <w:rPr>
                <w:b/>
                <w:sz w:val="20"/>
              </w:rPr>
            </w:pPr>
            <w:r>
              <w:rPr>
                <w:b/>
                <w:sz w:val="20"/>
              </w:rPr>
              <w:t>CTA</w:t>
            </w:r>
            <w:r>
              <w:rPr>
                <w:b/>
                <w:position w:val="7"/>
                <w:sz w:val="16"/>
                <w:sz w:val="20"/>
              </w:rPr>
              <w:t>(*)</w:t>
            </w:r>
          </w:p>
        </w:tc>
        <w:tc>
          <w:tcPr>
            <w:tcW w:w="1233" w:type="dxa"/>
            <w:tcBorders>
              <w:bottom w:val="single" w:sz="8" w:space="0" w:color="000000"/>
            </w:tcBorders>
            <w:shd w:fill="FFFFFF" w:val="clear"/>
            <w:vAlign w:val="center"/>
          </w:tcPr>
          <w:p>
            <w:pPr>
              <w:pStyle w:val="TableContents"/>
              <w:bidi w:val="0"/>
              <w:spacing w:before="0" w:after="283"/>
              <w:jc w:val="center"/>
              <w:rPr>
                <w:b/>
                <w:sz w:val="20"/>
              </w:rPr>
            </w:pPr>
            <w:r>
              <w:rPr>
                <w:b/>
                <w:sz w:val="20"/>
              </w:rPr>
              <w:t>Closing balance</w:t>
            </w:r>
          </w:p>
        </w:tc>
      </w:tr>
      <w:tr>
        <w:trPr/>
        <w:tc>
          <w:tcPr>
            <w:tcW w:w="2914"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left"/>
              <w:rPr/>
            </w:pPr>
            <w:r>
              <w:rPr/>
              <w:t> </w:t>
            </w:r>
          </w:p>
        </w:tc>
        <w:tc>
          <w:tcPr>
            <w:tcW w:w="1679" w:type="dxa"/>
            <w:tcBorders/>
            <w:shd w:fill="FFFFFF" w:val="clear"/>
            <w:tcMar>
              <w:bottom w:w="0" w:type="dxa"/>
            </w:tcMar>
            <w:vAlign w:val="center"/>
          </w:tcPr>
          <w:p>
            <w:pPr>
              <w:pStyle w:val="TableContents"/>
              <w:bidi w:val="0"/>
              <w:spacing w:before="0" w:after="283"/>
              <w:jc w:val="righ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1" w:type="dxa"/>
            <w:tcBorders/>
            <w:shd w:fill="FFFFFF" w:val="clear"/>
            <w:tcMar>
              <w:bottom w:w="0" w:type="dxa"/>
            </w:tcMar>
            <w:vAlign w:val="center"/>
          </w:tcPr>
          <w:p>
            <w:pPr>
              <w:pStyle w:val="TableContents"/>
              <w:bidi w:val="0"/>
              <w:spacing w:before="0" w:after="283"/>
              <w:jc w:val="left"/>
              <w:rPr/>
            </w:pPr>
            <w:r>
              <w:rPr/>
              <w:t> </w:t>
            </w:r>
          </w:p>
        </w:tc>
        <w:tc>
          <w:tcPr>
            <w:tcW w:w="1233" w:type="dxa"/>
            <w:tcBorders/>
            <w:shd w:fill="FFFFFF" w:val="clear"/>
            <w:tcMar>
              <w:bottom w:w="0" w:type="dxa"/>
            </w:tcMar>
            <w:vAlign w:val="center"/>
          </w:tcPr>
          <w:p>
            <w:pPr>
              <w:pStyle w:val="TableContents"/>
              <w:bidi w:val="0"/>
              <w:spacing w:before="0" w:after="283"/>
              <w:jc w:val="left"/>
              <w:rPr/>
            </w:pPr>
            <w:r>
              <w:rPr/>
              <w:t> </w:t>
            </w:r>
          </w:p>
        </w:tc>
      </w:tr>
      <w:tr>
        <w:trPr/>
        <w:tc>
          <w:tcPr>
            <w:tcW w:w="2914" w:type="dxa"/>
            <w:tcBorders/>
            <w:shd w:fill="D5EAEA" w:val="clear"/>
            <w:tcMar>
              <w:bottom w:w="0" w:type="dxa"/>
            </w:tcMar>
            <w:vAlign w:val="center"/>
          </w:tcPr>
          <w:p>
            <w:pPr>
              <w:pStyle w:val="TableContents"/>
              <w:bidi w:val="0"/>
              <w:spacing w:before="0" w:after="283"/>
              <w:jc w:val="left"/>
              <w:rPr>
                <w:sz w:val="20"/>
              </w:rPr>
            </w:pPr>
            <w:r>
              <w:rPr>
                <w:sz w:val="20"/>
              </w:rPr>
              <w:t>(-) Furniture and fixtures</w:t>
            </w:r>
          </w:p>
        </w:tc>
        <w:tc>
          <w:tcPr>
            <w:tcW w:w="1288" w:type="dxa"/>
            <w:tcBorders/>
            <w:shd w:fill="D5EAEA" w:val="clear"/>
            <w:tcMar>
              <w:bottom w:w="0" w:type="dxa"/>
            </w:tcMar>
            <w:vAlign w:val="center"/>
          </w:tcPr>
          <w:p>
            <w:pPr>
              <w:pStyle w:val="TableContents"/>
              <w:bidi w:val="0"/>
              <w:spacing w:before="0" w:after="283"/>
              <w:jc w:val="right"/>
              <w:rPr>
                <w:sz w:val="20"/>
              </w:rPr>
            </w:pPr>
            <w:r>
              <w:rPr>
                <w:sz w:val="20"/>
              </w:rPr>
              <w:t>(1,545)</w:t>
            </w:r>
          </w:p>
        </w:tc>
        <w:tc>
          <w:tcPr>
            <w:tcW w:w="830" w:type="dxa"/>
            <w:tcBorders/>
            <w:shd w:fill="D5EAEA" w:val="clear"/>
            <w:tcMar>
              <w:bottom w:w="0" w:type="dxa"/>
            </w:tcMar>
            <w:vAlign w:val="center"/>
          </w:tcPr>
          <w:p>
            <w:pPr>
              <w:pStyle w:val="TableContents"/>
              <w:bidi w:val="0"/>
              <w:spacing w:before="0" w:after="283"/>
              <w:jc w:val="right"/>
              <w:rPr>
                <w:sz w:val="20"/>
              </w:rPr>
            </w:pPr>
            <w:r>
              <w:rPr>
                <w:sz w:val="20"/>
              </w:rPr>
              <w:t>(88)</w:t>
            </w:r>
          </w:p>
        </w:tc>
        <w:tc>
          <w:tcPr>
            <w:tcW w:w="815" w:type="dxa"/>
            <w:tcBorders/>
            <w:shd w:fill="D5EAEA" w:val="clear"/>
            <w:tcMar>
              <w:bottom w:w="0" w:type="dxa"/>
            </w:tcMar>
            <w:vAlign w:val="center"/>
          </w:tcPr>
          <w:p>
            <w:pPr>
              <w:pStyle w:val="TableContents"/>
              <w:bidi w:val="0"/>
              <w:spacing w:before="0" w:after="283"/>
              <w:jc w:val="right"/>
              <w:rPr>
                <w:sz w:val="20"/>
              </w:rPr>
            </w:pPr>
            <w:r>
              <w:rPr>
                <w:sz w:val="20"/>
              </w:rPr>
              <w:t>-</w:t>
            </w:r>
          </w:p>
        </w:tc>
        <w:tc>
          <w:tcPr>
            <w:tcW w:w="1679" w:type="dxa"/>
            <w:tcBorders/>
            <w:shd w:fill="D5EAEA" w:val="clear"/>
            <w:tcMar>
              <w:bottom w:w="0" w:type="dxa"/>
            </w:tcMar>
            <w:vAlign w:val="center"/>
          </w:tcPr>
          <w:p>
            <w:pPr>
              <w:pStyle w:val="TableContents"/>
              <w:bidi w:val="0"/>
              <w:spacing w:before="0" w:after="283"/>
              <w:jc w:val="right"/>
              <w:rPr>
                <w:sz w:val="20"/>
              </w:rPr>
            </w:pPr>
            <w:r>
              <w:rPr>
                <w:sz w:val="20"/>
              </w:rPr>
              <w:t>(477)</w:t>
            </w:r>
          </w:p>
        </w:tc>
        <w:tc>
          <w:tcPr>
            <w:tcW w:w="845" w:type="dxa"/>
            <w:tcBorders/>
            <w:shd w:fill="D5EAEA" w:val="clear"/>
            <w:tcMar>
              <w:bottom w:w="0" w:type="dxa"/>
            </w:tcMar>
            <w:vAlign w:val="center"/>
          </w:tcPr>
          <w:p>
            <w:pPr>
              <w:pStyle w:val="TableContents"/>
              <w:bidi w:val="0"/>
              <w:spacing w:before="0" w:after="283"/>
              <w:jc w:val="right"/>
              <w:rPr>
                <w:sz w:val="20"/>
              </w:rPr>
            </w:pPr>
            <w:r>
              <w:rPr>
                <w:sz w:val="20"/>
              </w:rPr>
              <w:t>-</w:t>
            </w:r>
          </w:p>
        </w:tc>
        <w:tc>
          <w:tcPr>
            <w:tcW w:w="601" w:type="dxa"/>
            <w:tcBorders/>
            <w:shd w:fill="D5EAEA" w:val="clear"/>
            <w:tcMar>
              <w:bottom w:w="0" w:type="dxa"/>
            </w:tcMar>
            <w:vAlign w:val="center"/>
          </w:tcPr>
          <w:p>
            <w:pPr>
              <w:pStyle w:val="TableContents"/>
              <w:bidi w:val="0"/>
              <w:spacing w:before="0" w:after="283"/>
              <w:jc w:val="right"/>
              <w:rPr>
                <w:sz w:val="20"/>
              </w:rPr>
            </w:pPr>
            <w:r>
              <w:rPr>
                <w:sz w:val="20"/>
              </w:rPr>
              <w:t>(40)</w:t>
            </w:r>
          </w:p>
        </w:tc>
        <w:tc>
          <w:tcPr>
            <w:tcW w:w="1233" w:type="dxa"/>
            <w:tcBorders/>
            <w:shd w:fill="D5EAEA" w:val="clear"/>
            <w:tcMar>
              <w:bottom w:w="0" w:type="dxa"/>
            </w:tcMar>
            <w:vAlign w:val="center"/>
          </w:tcPr>
          <w:p>
            <w:pPr>
              <w:pStyle w:val="TableContents"/>
              <w:bidi w:val="0"/>
              <w:spacing w:before="0" w:after="283"/>
              <w:jc w:val="right"/>
              <w:rPr>
                <w:sz w:val="20"/>
              </w:rPr>
            </w:pPr>
            <w:r>
              <w:rPr>
                <w:sz w:val="20"/>
              </w:rPr>
              <w:t>(2,150)</w:t>
            </w:r>
          </w:p>
        </w:tc>
      </w:tr>
      <w:tr>
        <w:trPr/>
        <w:tc>
          <w:tcPr>
            <w:tcW w:w="2914" w:type="dxa"/>
            <w:tcBorders/>
            <w:shd w:fill="FFFFFF" w:val="clear"/>
            <w:tcMar>
              <w:bottom w:w="0" w:type="dxa"/>
            </w:tcMar>
            <w:vAlign w:val="center"/>
          </w:tcPr>
          <w:p>
            <w:pPr>
              <w:pStyle w:val="TableContents"/>
              <w:bidi w:val="0"/>
              <w:spacing w:before="0" w:after="283"/>
              <w:jc w:val="left"/>
              <w:rPr>
                <w:sz w:val="20"/>
              </w:rPr>
            </w:pPr>
            <w:r>
              <w:rPr>
                <w:sz w:val="20"/>
              </w:rPr>
              <w:t>(-) Building improvements</w:t>
            </w:r>
          </w:p>
        </w:tc>
        <w:tc>
          <w:tcPr>
            <w:tcW w:w="1288" w:type="dxa"/>
            <w:tcBorders/>
            <w:shd w:fill="FFFFFF" w:val="clear"/>
            <w:tcMar>
              <w:bottom w:w="0" w:type="dxa"/>
            </w:tcMar>
            <w:vAlign w:val="center"/>
          </w:tcPr>
          <w:p>
            <w:pPr>
              <w:pStyle w:val="TableContents"/>
              <w:bidi w:val="0"/>
              <w:spacing w:before="0" w:after="283"/>
              <w:jc w:val="right"/>
              <w:rPr>
                <w:sz w:val="20"/>
              </w:rPr>
            </w:pPr>
            <w:r>
              <w:rPr>
                <w:sz w:val="20"/>
              </w:rPr>
              <w:t>(6,853)</w:t>
            </w:r>
          </w:p>
        </w:tc>
        <w:tc>
          <w:tcPr>
            <w:tcW w:w="830" w:type="dxa"/>
            <w:tcBorders/>
            <w:shd w:fill="FFFFFF" w:val="clear"/>
            <w:tcMar>
              <w:bottom w:w="0" w:type="dxa"/>
            </w:tcMar>
            <w:vAlign w:val="center"/>
          </w:tcPr>
          <w:p>
            <w:pPr>
              <w:pStyle w:val="TableContents"/>
              <w:bidi w:val="0"/>
              <w:spacing w:before="0" w:after="283"/>
              <w:jc w:val="right"/>
              <w:rPr>
                <w:sz w:val="20"/>
              </w:rPr>
            </w:pPr>
            <w:r>
              <w:rPr>
                <w:sz w:val="20"/>
              </w:rPr>
              <w:t>(746)</w:t>
            </w:r>
          </w:p>
        </w:tc>
        <w:tc>
          <w:tcPr>
            <w:tcW w:w="815" w:type="dxa"/>
            <w:tcBorders/>
            <w:shd w:fill="FFFFFF" w:val="clear"/>
            <w:tcMar>
              <w:bottom w:w="0" w:type="dxa"/>
            </w:tcMar>
            <w:vAlign w:val="center"/>
          </w:tcPr>
          <w:p>
            <w:pPr>
              <w:pStyle w:val="TableContents"/>
              <w:bidi w:val="0"/>
              <w:spacing w:before="0" w:after="283"/>
              <w:jc w:val="right"/>
              <w:rPr>
                <w:sz w:val="20"/>
              </w:rPr>
            </w:pPr>
            <w:r>
              <w:rPr>
                <w:sz w:val="20"/>
              </w:rPr>
              <w:t>-</w:t>
            </w:r>
          </w:p>
        </w:tc>
        <w:tc>
          <w:tcPr>
            <w:tcW w:w="1679" w:type="dxa"/>
            <w:tcBorders/>
            <w:shd w:fill="FFFFFF" w:val="clear"/>
            <w:tcMar>
              <w:bottom w:w="0" w:type="dxa"/>
            </w:tcMar>
            <w:vAlign w:val="center"/>
          </w:tcPr>
          <w:p>
            <w:pPr>
              <w:pStyle w:val="TableContents"/>
              <w:bidi w:val="0"/>
              <w:spacing w:before="0" w:after="283"/>
              <w:jc w:val="right"/>
              <w:rPr>
                <w:sz w:val="20"/>
              </w:rPr>
            </w:pPr>
            <w:r>
              <w:rPr>
                <w:sz w:val="20"/>
              </w:rPr>
              <w:t>-</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1" w:type="dxa"/>
            <w:tcBorders/>
            <w:shd w:fill="FFFFFF" w:val="clear"/>
            <w:tcMar>
              <w:bottom w:w="0" w:type="dxa"/>
            </w:tcMar>
            <w:vAlign w:val="center"/>
          </w:tcPr>
          <w:p>
            <w:pPr>
              <w:pStyle w:val="TableContents"/>
              <w:bidi w:val="0"/>
              <w:spacing w:before="0" w:after="283"/>
              <w:jc w:val="right"/>
              <w:rPr>
                <w:sz w:val="20"/>
              </w:rPr>
            </w:pPr>
            <w:r>
              <w:rPr>
                <w:sz w:val="20"/>
              </w:rPr>
              <w:t>(75)</w:t>
            </w:r>
          </w:p>
        </w:tc>
        <w:tc>
          <w:tcPr>
            <w:tcW w:w="1233" w:type="dxa"/>
            <w:tcBorders/>
            <w:shd w:fill="FFFFFF" w:val="clear"/>
            <w:tcMar>
              <w:bottom w:w="0" w:type="dxa"/>
            </w:tcMar>
            <w:vAlign w:val="center"/>
          </w:tcPr>
          <w:p>
            <w:pPr>
              <w:pStyle w:val="TableContents"/>
              <w:bidi w:val="0"/>
              <w:spacing w:before="0" w:after="283"/>
              <w:jc w:val="right"/>
              <w:rPr>
                <w:sz w:val="20"/>
              </w:rPr>
            </w:pPr>
            <w:r>
              <w:rPr>
                <w:sz w:val="20"/>
              </w:rPr>
              <w:t>(7,674)</w:t>
            </w:r>
          </w:p>
        </w:tc>
      </w:tr>
      <w:tr>
        <w:trPr/>
        <w:tc>
          <w:tcPr>
            <w:tcW w:w="2914" w:type="dxa"/>
            <w:tcBorders/>
            <w:shd w:fill="D5EAEA" w:val="clear"/>
            <w:tcMar>
              <w:bottom w:w="0" w:type="dxa"/>
            </w:tcMar>
            <w:vAlign w:val="center"/>
          </w:tcPr>
          <w:p>
            <w:pPr>
              <w:pStyle w:val="TableContents"/>
              <w:bidi w:val="0"/>
              <w:spacing w:before="0" w:after="283"/>
              <w:jc w:val="left"/>
              <w:rPr>
                <w:sz w:val="20"/>
              </w:rPr>
            </w:pPr>
            <w:r>
              <w:rPr>
                <w:sz w:val="20"/>
              </w:rPr>
              <w:t>(-) Office equipment</w:t>
            </w:r>
          </w:p>
        </w:tc>
        <w:tc>
          <w:tcPr>
            <w:tcW w:w="1288" w:type="dxa"/>
            <w:tcBorders/>
            <w:shd w:fill="D5EAEA" w:val="clear"/>
            <w:tcMar>
              <w:bottom w:w="0" w:type="dxa"/>
            </w:tcMar>
            <w:vAlign w:val="center"/>
          </w:tcPr>
          <w:p>
            <w:pPr>
              <w:pStyle w:val="TableContents"/>
              <w:bidi w:val="0"/>
              <w:spacing w:before="0" w:after="283"/>
              <w:jc w:val="right"/>
              <w:rPr>
                <w:sz w:val="20"/>
              </w:rPr>
            </w:pPr>
            <w:r>
              <w:rPr>
                <w:sz w:val="20"/>
              </w:rPr>
              <w:t>(5,287)</w:t>
            </w:r>
          </w:p>
        </w:tc>
        <w:tc>
          <w:tcPr>
            <w:tcW w:w="830" w:type="dxa"/>
            <w:tcBorders/>
            <w:shd w:fill="D5EAEA" w:val="clear"/>
            <w:tcMar>
              <w:bottom w:w="0" w:type="dxa"/>
            </w:tcMar>
            <w:vAlign w:val="center"/>
          </w:tcPr>
          <w:p>
            <w:pPr>
              <w:pStyle w:val="TableContents"/>
              <w:bidi w:val="0"/>
              <w:spacing w:before="0" w:after="283"/>
              <w:jc w:val="right"/>
              <w:rPr>
                <w:sz w:val="20"/>
              </w:rPr>
            </w:pPr>
            <w:r>
              <w:rPr>
                <w:sz w:val="20"/>
              </w:rPr>
              <w:t>(441)</w:t>
            </w:r>
          </w:p>
        </w:tc>
        <w:tc>
          <w:tcPr>
            <w:tcW w:w="815" w:type="dxa"/>
            <w:tcBorders/>
            <w:shd w:fill="D5EAEA" w:val="clear"/>
            <w:tcMar>
              <w:bottom w:w="0" w:type="dxa"/>
            </w:tcMar>
            <w:vAlign w:val="center"/>
          </w:tcPr>
          <w:p>
            <w:pPr>
              <w:pStyle w:val="TableContents"/>
              <w:bidi w:val="0"/>
              <w:spacing w:before="0" w:after="283"/>
              <w:jc w:val="right"/>
              <w:rPr>
                <w:sz w:val="20"/>
              </w:rPr>
            </w:pPr>
            <w:r>
              <w:rPr>
                <w:sz w:val="20"/>
              </w:rPr>
              <w:t>-</w:t>
            </w:r>
          </w:p>
        </w:tc>
        <w:tc>
          <w:tcPr>
            <w:tcW w:w="1679" w:type="dxa"/>
            <w:tcBorders/>
            <w:shd w:fill="D5EAEA" w:val="clear"/>
            <w:tcMar>
              <w:bottom w:w="0" w:type="dxa"/>
            </w:tcMar>
            <w:vAlign w:val="center"/>
          </w:tcPr>
          <w:p>
            <w:pPr>
              <w:pStyle w:val="TableContents"/>
              <w:bidi w:val="0"/>
              <w:spacing w:before="0" w:after="283"/>
              <w:jc w:val="right"/>
              <w:rPr>
                <w:sz w:val="20"/>
              </w:rPr>
            </w:pPr>
            <w:r>
              <w:rPr>
                <w:sz w:val="20"/>
              </w:rPr>
              <w:t>(595)</w:t>
            </w:r>
          </w:p>
        </w:tc>
        <w:tc>
          <w:tcPr>
            <w:tcW w:w="845" w:type="dxa"/>
            <w:tcBorders/>
            <w:shd w:fill="D5EAEA" w:val="clear"/>
            <w:tcMar>
              <w:bottom w:w="0" w:type="dxa"/>
            </w:tcMar>
            <w:vAlign w:val="center"/>
          </w:tcPr>
          <w:p>
            <w:pPr>
              <w:pStyle w:val="TableContents"/>
              <w:bidi w:val="0"/>
              <w:spacing w:before="0" w:after="283"/>
              <w:jc w:val="right"/>
              <w:rPr>
                <w:sz w:val="20"/>
              </w:rPr>
            </w:pPr>
            <w:r>
              <w:rPr>
                <w:sz w:val="20"/>
              </w:rPr>
              <w:t>-</w:t>
            </w:r>
          </w:p>
        </w:tc>
        <w:tc>
          <w:tcPr>
            <w:tcW w:w="601" w:type="dxa"/>
            <w:tcBorders/>
            <w:shd w:fill="D5EAEA" w:val="clear"/>
            <w:tcMar>
              <w:bottom w:w="0" w:type="dxa"/>
            </w:tcMar>
            <w:vAlign w:val="center"/>
          </w:tcPr>
          <w:p>
            <w:pPr>
              <w:pStyle w:val="TableContents"/>
              <w:bidi w:val="0"/>
              <w:spacing w:before="0" w:after="283"/>
              <w:jc w:val="right"/>
              <w:rPr>
                <w:sz w:val="20"/>
              </w:rPr>
            </w:pPr>
            <w:r>
              <w:rPr>
                <w:sz w:val="20"/>
              </w:rPr>
              <w:t>(207)</w:t>
            </w:r>
          </w:p>
        </w:tc>
        <w:tc>
          <w:tcPr>
            <w:tcW w:w="1233" w:type="dxa"/>
            <w:tcBorders/>
            <w:shd w:fill="D5EAEA" w:val="clear"/>
            <w:tcMar>
              <w:bottom w:w="0" w:type="dxa"/>
            </w:tcMar>
            <w:vAlign w:val="center"/>
          </w:tcPr>
          <w:p>
            <w:pPr>
              <w:pStyle w:val="TableContents"/>
              <w:bidi w:val="0"/>
              <w:spacing w:before="0" w:after="283"/>
              <w:jc w:val="right"/>
              <w:rPr>
                <w:sz w:val="20"/>
              </w:rPr>
            </w:pPr>
            <w:r>
              <w:rPr>
                <w:sz w:val="20"/>
              </w:rPr>
              <w:t>(6,530)</w:t>
            </w:r>
          </w:p>
        </w:tc>
      </w:tr>
      <w:tr>
        <w:trPr/>
        <w:tc>
          <w:tcPr>
            <w:tcW w:w="2914" w:type="dxa"/>
            <w:tcBorders/>
            <w:shd w:fill="FFFFFF" w:val="clear"/>
            <w:tcMar>
              <w:bottom w:w="0" w:type="dxa"/>
            </w:tcMar>
            <w:vAlign w:val="center"/>
          </w:tcPr>
          <w:p>
            <w:pPr>
              <w:pStyle w:val="TableContents"/>
              <w:bidi w:val="0"/>
              <w:spacing w:before="0" w:after="283"/>
              <w:jc w:val="left"/>
              <w:rPr>
                <w:sz w:val="20"/>
              </w:rPr>
            </w:pPr>
            <w:r>
              <w:rPr>
                <w:sz w:val="20"/>
              </w:rPr>
              <w:t>(-) Right-of-use assets (a)</w:t>
            </w:r>
          </w:p>
        </w:tc>
        <w:tc>
          <w:tcPr>
            <w:tcW w:w="1288" w:type="dxa"/>
            <w:tcBorders/>
            <w:shd w:fill="FFFFFF" w:val="clear"/>
            <w:tcMar>
              <w:bottom w:w="0" w:type="dxa"/>
            </w:tcMar>
            <w:vAlign w:val="center"/>
          </w:tcPr>
          <w:p>
            <w:pPr>
              <w:pStyle w:val="TableContents"/>
              <w:bidi w:val="0"/>
              <w:spacing w:before="0" w:after="283"/>
              <w:jc w:val="right"/>
              <w:rPr>
                <w:sz w:val="20"/>
              </w:rPr>
            </w:pPr>
            <w:r>
              <w:rPr>
                <w:sz w:val="20"/>
              </w:rPr>
              <w:t>(12,302)</w:t>
            </w:r>
          </w:p>
        </w:tc>
        <w:tc>
          <w:tcPr>
            <w:tcW w:w="830" w:type="dxa"/>
            <w:tcBorders/>
            <w:shd w:fill="FFFFFF" w:val="clear"/>
            <w:tcMar>
              <w:bottom w:w="0" w:type="dxa"/>
            </w:tcMar>
            <w:vAlign w:val="center"/>
          </w:tcPr>
          <w:p>
            <w:pPr>
              <w:pStyle w:val="TableContents"/>
              <w:bidi w:val="0"/>
              <w:spacing w:before="0" w:after="283"/>
              <w:jc w:val="right"/>
              <w:rPr>
                <w:sz w:val="20"/>
              </w:rPr>
            </w:pPr>
            <w:r>
              <w:rPr>
                <w:sz w:val="20"/>
              </w:rPr>
              <w:t>(2,524)</w:t>
            </w:r>
          </w:p>
        </w:tc>
        <w:tc>
          <w:tcPr>
            <w:tcW w:w="815" w:type="dxa"/>
            <w:tcBorders/>
            <w:shd w:fill="FFFFFF" w:val="clear"/>
            <w:tcMar>
              <w:bottom w:w="0" w:type="dxa"/>
            </w:tcMar>
            <w:vAlign w:val="center"/>
          </w:tcPr>
          <w:p>
            <w:pPr>
              <w:pStyle w:val="TableContents"/>
              <w:bidi w:val="0"/>
              <w:spacing w:before="0" w:after="283"/>
              <w:jc w:val="right"/>
              <w:rPr>
                <w:sz w:val="20"/>
              </w:rPr>
            </w:pPr>
            <w:r>
              <w:rPr>
                <w:sz w:val="20"/>
              </w:rPr>
              <w:t>-</w:t>
            </w:r>
          </w:p>
        </w:tc>
        <w:tc>
          <w:tcPr>
            <w:tcW w:w="1679" w:type="dxa"/>
            <w:tcBorders/>
            <w:shd w:fill="FFFFFF" w:val="clear"/>
            <w:tcMar>
              <w:bottom w:w="0" w:type="dxa"/>
            </w:tcMar>
            <w:vAlign w:val="center"/>
          </w:tcPr>
          <w:p>
            <w:pPr>
              <w:pStyle w:val="TableContents"/>
              <w:bidi w:val="0"/>
              <w:spacing w:before="0" w:after="283"/>
              <w:jc w:val="right"/>
              <w:rPr>
                <w:sz w:val="20"/>
              </w:rPr>
            </w:pPr>
            <w:r>
              <w:rPr>
                <w:sz w:val="20"/>
              </w:rPr>
              <w:t>(165)</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1" w:type="dxa"/>
            <w:tcBorders/>
            <w:shd w:fill="FFFFFF" w:val="clear"/>
            <w:tcMar>
              <w:bottom w:w="0" w:type="dxa"/>
            </w:tcMar>
            <w:vAlign w:val="center"/>
          </w:tcPr>
          <w:p>
            <w:pPr>
              <w:pStyle w:val="TableContents"/>
              <w:bidi w:val="0"/>
              <w:spacing w:before="0" w:after="283"/>
              <w:jc w:val="right"/>
              <w:rPr>
                <w:sz w:val="20"/>
              </w:rPr>
            </w:pPr>
            <w:r>
              <w:rPr>
                <w:sz w:val="20"/>
              </w:rPr>
              <w:t>(165)</w:t>
            </w:r>
          </w:p>
        </w:tc>
        <w:tc>
          <w:tcPr>
            <w:tcW w:w="1233" w:type="dxa"/>
            <w:tcBorders/>
            <w:shd w:fill="FFFFFF" w:val="clear"/>
            <w:tcMar>
              <w:bottom w:w="0" w:type="dxa"/>
            </w:tcMar>
            <w:vAlign w:val="center"/>
          </w:tcPr>
          <w:p>
            <w:pPr>
              <w:pStyle w:val="TableContents"/>
              <w:bidi w:val="0"/>
              <w:spacing w:before="0" w:after="283"/>
              <w:jc w:val="right"/>
              <w:rPr>
                <w:sz w:val="20"/>
              </w:rPr>
            </w:pPr>
            <w:r>
              <w:rPr>
                <w:sz w:val="20"/>
              </w:rPr>
              <w:t>(15,156)</w:t>
            </w:r>
          </w:p>
        </w:tc>
      </w:tr>
      <w:tr>
        <w:trPr/>
        <w:tc>
          <w:tcPr>
            <w:tcW w:w="2914" w:type="dxa"/>
            <w:tcBorders>
              <w:bottom w:val="single" w:sz="8" w:space="0" w:color="000000"/>
            </w:tcBorders>
            <w:shd w:fill="D5EAEA" w:val="clear"/>
            <w:vAlign w:val="center"/>
          </w:tcPr>
          <w:p>
            <w:pPr>
              <w:pStyle w:val="TableContents"/>
              <w:bidi w:val="0"/>
              <w:spacing w:before="0" w:after="283"/>
              <w:jc w:val="left"/>
              <w:rPr/>
            </w:pPr>
            <w:r>
              <w:rPr/>
              <w:t> </w:t>
            </w:r>
          </w:p>
        </w:tc>
        <w:tc>
          <w:tcPr>
            <w:tcW w:w="1288" w:type="dxa"/>
            <w:tcBorders>
              <w:bottom w:val="single" w:sz="8" w:space="0" w:color="000000"/>
            </w:tcBorders>
            <w:shd w:fill="D5EAEA" w:val="clear"/>
            <w:vAlign w:val="center"/>
          </w:tcPr>
          <w:p>
            <w:pPr>
              <w:pStyle w:val="TableContents"/>
              <w:bidi w:val="0"/>
              <w:spacing w:before="0" w:after="283"/>
              <w:jc w:val="right"/>
              <w:rPr/>
            </w:pPr>
            <w:r>
              <w:rPr/>
              <w:t> </w:t>
            </w:r>
          </w:p>
        </w:tc>
        <w:tc>
          <w:tcPr>
            <w:tcW w:w="830" w:type="dxa"/>
            <w:tcBorders>
              <w:bottom w:val="single" w:sz="8" w:space="0" w:color="000000"/>
            </w:tcBorders>
            <w:shd w:fill="D5EAEA" w:val="clear"/>
            <w:vAlign w:val="center"/>
          </w:tcPr>
          <w:p>
            <w:pPr>
              <w:pStyle w:val="TableContents"/>
              <w:bidi w:val="0"/>
              <w:spacing w:before="0" w:after="283"/>
              <w:jc w:val="right"/>
              <w:rPr/>
            </w:pPr>
            <w:r>
              <w:rPr/>
              <w:t> </w:t>
            </w:r>
          </w:p>
        </w:tc>
        <w:tc>
          <w:tcPr>
            <w:tcW w:w="815" w:type="dxa"/>
            <w:tcBorders>
              <w:bottom w:val="single" w:sz="8" w:space="0" w:color="000000"/>
            </w:tcBorders>
            <w:shd w:fill="D5EAEA" w:val="clear"/>
            <w:vAlign w:val="center"/>
          </w:tcPr>
          <w:p>
            <w:pPr>
              <w:pStyle w:val="TableContents"/>
              <w:bidi w:val="0"/>
              <w:spacing w:before="0" w:after="283"/>
              <w:jc w:val="right"/>
              <w:rPr/>
            </w:pPr>
            <w:r>
              <w:rPr/>
              <w:t> </w:t>
            </w:r>
          </w:p>
        </w:tc>
        <w:tc>
          <w:tcPr>
            <w:tcW w:w="1679" w:type="dxa"/>
            <w:tcBorders>
              <w:bottom w:val="single" w:sz="8" w:space="0" w:color="000000"/>
            </w:tcBorders>
            <w:shd w:fill="D5EAEA" w:val="clear"/>
            <w:vAlign w:val="center"/>
          </w:tcPr>
          <w:p>
            <w:pPr>
              <w:pStyle w:val="TableContents"/>
              <w:bidi w:val="0"/>
              <w:spacing w:before="0" w:after="283"/>
              <w:jc w:val="right"/>
              <w:rPr/>
            </w:pPr>
            <w:r>
              <w:rPr/>
              <w:t> </w:t>
            </w:r>
          </w:p>
        </w:tc>
        <w:tc>
          <w:tcPr>
            <w:tcW w:w="845" w:type="dxa"/>
            <w:tcBorders>
              <w:bottom w:val="single" w:sz="8" w:space="0" w:color="000000"/>
            </w:tcBorders>
            <w:shd w:fill="D5EAEA" w:val="clear"/>
            <w:vAlign w:val="center"/>
          </w:tcPr>
          <w:p>
            <w:pPr>
              <w:pStyle w:val="TableContents"/>
              <w:bidi w:val="0"/>
              <w:spacing w:before="0" w:after="283"/>
              <w:jc w:val="right"/>
              <w:rPr/>
            </w:pPr>
            <w:r>
              <w:rPr/>
              <w:t> </w:t>
            </w:r>
          </w:p>
        </w:tc>
        <w:tc>
          <w:tcPr>
            <w:tcW w:w="601" w:type="dxa"/>
            <w:tcBorders>
              <w:bottom w:val="single" w:sz="8" w:space="0" w:color="000000"/>
            </w:tcBorders>
            <w:shd w:fill="D5EAEA" w:val="clear"/>
            <w:vAlign w:val="center"/>
          </w:tcPr>
          <w:p>
            <w:pPr>
              <w:pStyle w:val="TableContents"/>
              <w:bidi w:val="0"/>
              <w:spacing w:before="0" w:after="283"/>
              <w:jc w:val="right"/>
              <w:rPr/>
            </w:pPr>
            <w:r>
              <w:rPr/>
              <w:t> </w:t>
            </w:r>
          </w:p>
        </w:tc>
        <w:tc>
          <w:tcPr>
            <w:tcW w:w="1233" w:type="dxa"/>
            <w:tcBorders>
              <w:bottom w:val="single" w:sz="8" w:space="0" w:color="000000"/>
            </w:tcBorders>
            <w:shd w:fill="D5EAEA" w:val="clear"/>
            <w:vAlign w:val="center"/>
          </w:tcPr>
          <w:p>
            <w:pPr>
              <w:pStyle w:val="TableContents"/>
              <w:bidi w:val="0"/>
              <w:spacing w:before="0" w:after="283"/>
              <w:jc w:val="right"/>
              <w:rPr/>
            </w:pPr>
            <w:r>
              <w:rPr/>
              <w:t> </w:t>
            </w:r>
          </w:p>
        </w:tc>
      </w:tr>
      <w:tr>
        <w:trPr/>
        <w:tc>
          <w:tcPr>
            <w:tcW w:w="2914" w:type="dxa"/>
            <w:tcBorders>
              <w:bottom w:val="single" w:sz="12" w:space="0" w:color="000000"/>
            </w:tcBorders>
            <w:shd w:fill="FFFFFF" w:val="clear"/>
            <w:vAlign w:val="center"/>
          </w:tcPr>
          <w:p>
            <w:pPr>
              <w:pStyle w:val="TableContents"/>
              <w:bidi w:val="0"/>
              <w:spacing w:before="0" w:after="283"/>
              <w:jc w:val="left"/>
              <w:rPr>
                <w:b/>
                <w:sz w:val="20"/>
              </w:rPr>
            </w:pPr>
            <w:r>
              <w:rPr>
                <w:b/>
                <w:sz w:val="20"/>
              </w:rPr>
              <w:t>Total - Accumulated depreciation</w:t>
            </w:r>
          </w:p>
        </w:tc>
        <w:tc>
          <w:tcPr>
            <w:tcW w:w="1288" w:type="dxa"/>
            <w:tcBorders>
              <w:bottom w:val="single" w:sz="12" w:space="0" w:color="000000"/>
            </w:tcBorders>
            <w:shd w:fill="FFFFFF" w:val="clear"/>
            <w:vAlign w:val="center"/>
          </w:tcPr>
          <w:p>
            <w:pPr>
              <w:pStyle w:val="TableContents"/>
              <w:bidi w:val="0"/>
              <w:spacing w:before="0" w:after="283"/>
              <w:jc w:val="right"/>
              <w:rPr>
                <w:b/>
                <w:sz w:val="20"/>
              </w:rPr>
            </w:pPr>
            <w:r>
              <w:rPr>
                <w:b/>
                <w:sz w:val="20"/>
              </w:rPr>
              <w:t>(25,987)</w:t>
            </w:r>
          </w:p>
        </w:tc>
        <w:tc>
          <w:tcPr>
            <w:tcW w:w="830" w:type="dxa"/>
            <w:tcBorders>
              <w:bottom w:val="single" w:sz="12" w:space="0" w:color="000000"/>
            </w:tcBorders>
            <w:shd w:fill="FFFFFF" w:val="clear"/>
            <w:vAlign w:val="center"/>
          </w:tcPr>
          <w:p>
            <w:pPr>
              <w:pStyle w:val="TableContents"/>
              <w:bidi w:val="0"/>
              <w:spacing w:before="0" w:after="283"/>
              <w:jc w:val="right"/>
              <w:rPr>
                <w:b/>
                <w:sz w:val="20"/>
              </w:rPr>
            </w:pPr>
            <w:r>
              <w:rPr>
                <w:b/>
                <w:sz w:val="20"/>
              </w:rPr>
              <w:t>(3,799)</w:t>
            </w:r>
          </w:p>
        </w:tc>
        <w:tc>
          <w:tcPr>
            <w:tcW w:w="815" w:type="dxa"/>
            <w:tcBorders>
              <w:bottom w:val="single" w:sz="12" w:space="0" w:color="000000"/>
            </w:tcBorders>
            <w:shd w:fill="FFFFFF" w:val="clear"/>
            <w:vAlign w:val="center"/>
          </w:tcPr>
          <w:p>
            <w:pPr>
              <w:pStyle w:val="TableContents"/>
              <w:bidi w:val="0"/>
              <w:spacing w:before="0" w:after="283"/>
              <w:jc w:val="right"/>
              <w:rPr>
                <w:b/>
                <w:sz w:val="20"/>
              </w:rPr>
            </w:pPr>
            <w:r>
              <w:rPr>
                <w:b/>
                <w:sz w:val="20"/>
              </w:rPr>
              <w:t>-</w:t>
            </w:r>
          </w:p>
        </w:tc>
        <w:tc>
          <w:tcPr>
            <w:tcW w:w="1679" w:type="dxa"/>
            <w:tcBorders>
              <w:bottom w:val="single" w:sz="12" w:space="0" w:color="000000"/>
            </w:tcBorders>
            <w:shd w:fill="FFFFFF" w:val="clear"/>
            <w:vAlign w:val="center"/>
          </w:tcPr>
          <w:p>
            <w:pPr>
              <w:pStyle w:val="TableContents"/>
              <w:bidi w:val="0"/>
              <w:spacing w:before="0" w:after="283"/>
              <w:jc w:val="right"/>
              <w:rPr>
                <w:b/>
                <w:sz w:val="20"/>
              </w:rPr>
            </w:pPr>
            <w:r>
              <w:rPr>
                <w:b/>
                <w:sz w:val="20"/>
              </w:rPr>
              <w:t>(1,237)</w:t>
            </w:r>
          </w:p>
        </w:tc>
        <w:tc>
          <w:tcPr>
            <w:tcW w:w="845" w:type="dxa"/>
            <w:tcBorders>
              <w:bottom w:val="single" w:sz="12" w:space="0" w:color="000000"/>
            </w:tcBorders>
            <w:shd w:fill="FFFFFF" w:val="clear"/>
            <w:vAlign w:val="center"/>
          </w:tcPr>
          <w:p>
            <w:pPr>
              <w:pStyle w:val="TableContents"/>
              <w:bidi w:val="0"/>
              <w:spacing w:before="0" w:after="283"/>
              <w:jc w:val="right"/>
              <w:rPr>
                <w:b/>
                <w:sz w:val="20"/>
              </w:rPr>
            </w:pPr>
            <w:r>
              <w:rPr>
                <w:b/>
                <w:sz w:val="20"/>
              </w:rPr>
              <w:t>-</w:t>
            </w:r>
          </w:p>
        </w:tc>
        <w:tc>
          <w:tcPr>
            <w:tcW w:w="601" w:type="dxa"/>
            <w:tcBorders>
              <w:bottom w:val="single" w:sz="12" w:space="0" w:color="000000"/>
            </w:tcBorders>
            <w:shd w:fill="FFFFFF" w:val="clear"/>
            <w:vAlign w:val="center"/>
          </w:tcPr>
          <w:p>
            <w:pPr>
              <w:pStyle w:val="TableContents"/>
              <w:bidi w:val="0"/>
              <w:spacing w:before="0" w:after="283"/>
              <w:jc w:val="right"/>
              <w:rPr>
                <w:b/>
                <w:sz w:val="20"/>
              </w:rPr>
            </w:pPr>
            <w:r>
              <w:rPr>
                <w:b/>
                <w:sz w:val="20"/>
              </w:rPr>
              <w:t>(487)</w:t>
            </w:r>
          </w:p>
        </w:tc>
        <w:tc>
          <w:tcPr>
            <w:tcW w:w="1233" w:type="dxa"/>
            <w:tcBorders>
              <w:bottom w:val="single" w:sz="12" w:space="0" w:color="000000"/>
            </w:tcBorders>
            <w:shd w:fill="FFFFFF" w:val="clear"/>
            <w:vAlign w:val="center"/>
          </w:tcPr>
          <w:p>
            <w:pPr>
              <w:pStyle w:val="TableContents"/>
              <w:bidi w:val="0"/>
              <w:spacing w:before="0" w:after="283"/>
              <w:jc w:val="right"/>
              <w:rPr>
                <w:b/>
                <w:sz w:val="20"/>
              </w:rPr>
            </w:pPr>
            <w:r>
              <w:rPr>
                <w:b/>
                <w:sz w:val="20"/>
              </w:rPr>
              <w:t>(31,510)</w:t>
            </w:r>
          </w:p>
        </w:tc>
      </w:tr>
      <w:tr>
        <w:trPr/>
        <w:tc>
          <w:tcPr>
            <w:tcW w:w="2914" w:type="dxa"/>
            <w:tcBorders>
              <w:bottom w:val="single" w:sz="8" w:space="0" w:color="000000"/>
            </w:tcBorders>
            <w:shd w:fill="D5EAEA" w:val="clear"/>
            <w:vAlign w:val="center"/>
          </w:tcPr>
          <w:p>
            <w:pPr>
              <w:pStyle w:val="TableContents"/>
              <w:bidi w:val="0"/>
              <w:spacing w:before="0" w:after="283"/>
              <w:jc w:val="left"/>
              <w:rPr/>
            </w:pPr>
            <w:r>
              <w:rPr/>
              <w:t> </w:t>
            </w:r>
          </w:p>
        </w:tc>
        <w:tc>
          <w:tcPr>
            <w:tcW w:w="1288" w:type="dxa"/>
            <w:tcBorders>
              <w:bottom w:val="single" w:sz="8" w:space="0" w:color="000000"/>
            </w:tcBorders>
            <w:shd w:fill="D5EAEA" w:val="clear"/>
            <w:vAlign w:val="center"/>
          </w:tcPr>
          <w:p>
            <w:pPr>
              <w:pStyle w:val="TableContents"/>
              <w:bidi w:val="0"/>
              <w:spacing w:before="0" w:after="283"/>
              <w:jc w:val="right"/>
              <w:rPr/>
            </w:pPr>
            <w:r>
              <w:rPr/>
              <w:t> </w:t>
            </w:r>
          </w:p>
        </w:tc>
        <w:tc>
          <w:tcPr>
            <w:tcW w:w="830" w:type="dxa"/>
            <w:tcBorders>
              <w:bottom w:val="single" w:sz="8" w:space="0" w:color="000000"/>
            </w:tcBorders>
            <w:shd w:fill="D5EAEA" w:val="clear"/>
            <w:vAlign w:val="center"/>
          </w:tcPr>
          <w:p>
            <w:pPr>
              <w:pStyle w:val="TableContents"/>
              <w:bidi w:val="0"/>
              <w:spacing w:before="0" w:after="283"/>
              <w:jc w:val="right"/>
              <w:rPr/>
            </w:pPr>
            <w:r>
              <w:rPr/>
              <w:t> </w:t>
            </w:r>
          </w:p>
        </w:tc>
        <w:tc>
          <w:tcPr>
            <w:tcW w:w="815" w:type="dxa"/>
            <w:tcBorders>
              <w:bottom w:val="single" w:sz="8" w:space="0" w:color="000000"/>
            </w:tcBorders>
            <w:shd w:fill="D5EAEA" w:val="clear"/>
            <w:vAlign w:val="center"/>
          </w:tcPr>
          <w:p>
            <w:pPr>
              <w:pStyle w:val="TableContents"/>
              <w:bidi w:val="0"/>
              <w:spacing w:before="0" w:after="283"/>
              <w:jc w:val="right"/>
              <w:rPr/>
            </w:pPr>
            <w:r>
              <w:rPr/>
              <w:t> </w:t>
            </w:r>
          </w:p>
        </w:tc>
        <w:tc>
          <w:tcPr>
            <w:tcW w:w="1679" w:type="dxa"/>
            <w:tcBorders>
              <w:bottom w:val="single" w:sz="8" w:space="0" w:color="000000"/>
            </w:tcBorders>
            <w:shd w:fill="D5EAEA" w:val="clear"/>
            <w:vAlign w:val="center"/>
          </w:tcPr>
          <w:p>
            <w:pPr>
              <w:pStyle w:val="TableContents"/>
              <w:bidi w:val="0"/>
              <w:spacing w:before="0" w:after="283"/>
              <w:jc w:val="right"/>
              <w:rPr/>
            </w:pPr>
            <w:r>
              <w:rPr/>
              <w:t> </w:t>
            </w:r>
          </w:p>
        </w:tc>
        <w:tc>
          <w:tcPr>
            <w:tcW w:w="845" w:type="dxa"/>
            <w:tcBorders>
              <w:bottom w:val="single" w:sz="8" w:space="0" w:color="000000"/>
            </w:tcBorders>
            <w:shd w:fill="D5EAEA" w:val="clear"/>
            <w:vAlign w:val="center"/>
          </w:tcPr>
          <w:p>
            <w:pPr>
              <w:pStyle w:val="TableContents"/>
              <w:bidi w:val="0"/>
              <w:spacing w:before="0" w:after="283"/>
              <w:jc w:val="right"/>
              <w:rPr/>
            </w:pPr>
            <w:r>
              <w:rPr/>
              <w:t> </w:t>
            </w:r>
          </w:p>
        </w:tc>
        <w:tc>
          <w:tcPr>
            <w:tcW w:w="601" w:type="dxa"/>
            <w:tcBorders>
              <w:bottom w:val="single" w:sz="8" w:space="0" w:color="000000"/>
            </w:tcBorders>
            <w:shd w:fill="D5EAEA" w:val="clear"/>
            <w:vAlign w:val="center"/>
          </w:tcPr>
          <w:p>
            <w:pPr>
              <w:pStyle w:val="TableContents"/>
              <w:bidi w:val="0"/>
              <w:spacing w:before="0" w:after="283"/>
              <w:jc w:val="right"/>
              <w:rPr/>
            </w:pPr>
            <w:r>
              <w:rPr/>
              <w:t> </w:t>
            </w:r>
          </w:p>
        </w:tc>
        <w:tc>
          <w:tcPr>
            <w:tcW w:w="1233" w:type="dxa"/>
            <w:tcBorders>
              <w:bottom w:val="single" w:sz="8" w:space="0" w:color="000000"/>
            </w:tcBorders>
            <w:shd w:fill="D5EAEA" w:val="clear"/>
            <w:vAlign w:val="center"/>
          </w:tcPr>
          <w:p>
            <w:pPr>
              <w:pStyle w:val="TableContents"/>
              <w:bidi w:val="0"/>
              <w:spacing w:before="0" w:after="283"/>
              <w:jc w:val="right"/>
              <w:rPr/>
            </w:pPr>
            <w:r>
              <w:rPr/>
              <w:t> </w:t>
            </w:r>
          </w:p>
        </w:tc>
      </w:tr>
      <w:tr>
        <w:trPr/>
        <w:tc>
          <w:tcPr>
            <w:tcW w:w="2914" w:type="dxa"/>
            <w:tcBorders>
              <w:bottom w:val="double" w:sz="6" w:space="0" w:color="000000"/>
            </w:tcBorders>
            <w:shd w:fill="FFFFFF" w:val="clear"/>
            <w:vAlign w:val="center"/>
          </w:tcPr>
          <w:p>
            <w:pPr>
              <w:pStyle w:val="TableContents"/>
              <w:bidi w:val="0"/>
              <w:spacing w:before="0" w:after="283"/>
              <w:jc w:val="left"/>
              <w:rPr>
                <w:b/>
                <w:sz w:val="20"/>
              </w:rPr>
            </w:pPr>
            <w:r>
              <w:rPr>
                <w:b/>
                <w:sz w:val="20"/>
              </w:rPr>
              <w:t>Property and equipment, net</w:t>
            </w:r>
          </w:p>
        </w:tc>
        <w:tc>
          <w:tcPr>
            <w:tcW w:w="1288" w:type="dxa"/>
            <w:tcBorders>
              <w:bottom w:val="double" w:sz="6" w:space="0" w:color="000000"/>
            </w:tcBorders>
            <w:shd w:fill="FFFFFF" w:val="clear"/>
            <w:vAlign w:val="center"/>
          </w:tcPr>
          <w:p>
            <w:pPr>
              <w:pStyle w:val="TableContents"/>
              <w:bidi w:val="0"/>
              <w:spacing w:before="0" w:after="283"/>
              <w:jc w:val="right"/>
              <w:rPr>
                <w:b/>
                <w:sz w:val="20"/>
              </w:rPr>
            </w:pPr>
            <w:r>
              <w:rPr>
                <w:b/>
                <w:sz w:val="20"/>
              </w:rPr>
              <w:t>42,366</w:t>
            </w:r>
          </w:p>
        </w:tc>
        <w:tc>
          <w:tcPr>
            <w:tcW w:w="830" w:type="dxa"/>
            <w:tcBorders>
              <w:bottom w:val="double" w:sz="6" w:space="0" w:color="000000"/>
            </w:tcBorders>
            <w:shd w:fill="FFFFFF" w:val="clear"/>
            <w:vAlign w:val="center"/>
          </w:tcPr>
          <w:p>
            <w:pPr>
              <w:pStyle w:val="TableContents"/>
              <w:bidi w:val="0"/>
              <w:spacing w:before="0" w:after="283"/>
              <w:jc w:val="right"/>
              <w:rPr>
                <w:b/>
                <w:sz w:val="20"/>
              </w:rPr>
            </w:pPr>
            <w:r>
              <w:rPr>
                <w:b/>
                <w:sz w:val="20"/>
              </w:rPr>
              <w:t>(145)</w:t>
            </w:r>
          </w:p>
        </w:tc>
        <w:tc>
          <w:tcPr>
            <w:tcW w:w="815" w:type="dxa"/>
            <w:tcBorders>
              <w:bottom w:val="double" w:sz="6" w:space="0" w:color="000000"/>
            </w:tcBorders>
            <w:shd w:fill="FFFFFF" w:val="clear"/>
            <w:vAlign w:val="center"/>
          </w:tcPr>
          <w:p>
            <w:pPr>
              <w:pStyle w:val="TableContents"/>
              <w:bidi w:val="0"/>
              <w:spacing w:before="0" w:after="283"/>
              <w:jc w:val="right"/>
              <w:rPr>
                <w:sz w:val="20"/>
              </w:rPr>
            </w:pPr>
            <w:r>
              <w:rPr>
                <w:sz w:val="20"/>
              </w:rPr>
              <w:t>-</w:t>
            </w:r>
          </w:p>
        </w:tc>
        <w:tc>
          <w:tcPr>
            <w:tcW w:w="1679" w:type="dxa"/>
            <w:tcBorders>
              <w:bottom w:val="double" w:sz="6" w:space="0" w:color="000000"/>
            </w:tcBorders>
            <w:shd w:fill="FFFFFF" w:val="clear"/>
            <w:vAlign w:val="center"/>
          </w:tcPr>
          <w:p>
            <w:pPr>
              <w:pStyle w:val="TableContents"/>
              <w:bidi w:val="0"/>
              <w:spacing w:before="0" w:after="283"/>
              <w:jc w:val="right"/>
              <w:rPr>
                <w:b/>
                <w:sz w:val="20"/>
              </w:rPr>
            </w:pPr>
            <w:r>
              <w:rPr>
                <w:b/>
                <w:sz w:val="20"/>
              </w:rPr>
              <w:t>3,634</w:t>
            </w:r>
          </w:p>
        </w:tc>
        <w:tc>
          <w:tcPr>
            <w:tcW w:w="845" w:type="dxa"/>
            <w:tcBorders>
              <w:bottom w:val="double" w:sz="6" w:space="0" w:color="000000"/>
            </w:tcBorders>
            <w:shd w:fill="FFFFFF" w:val="clear"/>
            <w:vAlign w:val="center"/>
          </w:tcPr>
          <w:p>
            <w:pPr>
              <w:pStyle w:val="TableContents"/>
              <w:bidi w:val="0"/>
              <w:spacing w:before="0" w:after="283"/>
              <w:jc w:val="right"/>
              <w:rPr>
                <w:b/>
                <w:sz w:val="20"/>
              </w:rPr>
            </w:pPr>
            <w:r>
              <w:rPr>
                <w:b/>
                <w:sz w:val="20"/>
              </w:rPr>
              <w:t>-</w:t>
            </w:r>
          </w:p>
        </w:tc>
        <w:tc>
          <w:tcPr>
            <w:tcW w:w="601" w:type="dxa"/>
            <w:tcBorders>
              <w:bottom w:val="double" w:sz="6" w:space="0" w:color="000000"/>
            </w:tcBorders>
            <w:shd w:fill="FFFFFF" w:val="clear"/>
            <w:vAlign w:val="center"/>
          </w:tcPr>
          <w:p>
            <w:pPr>
              <w:pStyle w:val="TableContents"/>
              <w:bidi w:val="0"/>
              <w:spacing w:before="0" w:after="283"/>
              <w:jc w:val="right"/>
              <w:rPr>
                <w:b/>
                <w:sz w:val="20"/>
              </w:rPr>
            </w:pPr>
            <w:r>
              <w:rPr>
                <w:b/>
                <w:sz w:val="20"/>
              </w:rPr>
              <w:t>793</w:t>
            </w:r>
          </w:p>
        </w:tc>
        <w:tc>
          <w:tcPr>
            <w:tcW w:w="1233" w:type="dxa"/>
            <w:tcBorders>
              <w:bottom w:val="double" w:sz="6" w:space="0" w:color="000000"/>
            </w:tcBorders>
            <w:shd w:fill="FFFFFF" w:val="clear"/>
            <w:vAlign w:val="center"/>
          </w:tcPr>
          <w:p>
            <w:pPr>
              <w:pStyle w:val="TableContents"/>
              <w:bidi w:val="0"/>
              <w:spacing w:before="0" w:after="283"/>
              <w:jc w:val="right"/>
              <w:rPr>
                <w:b/>
                <w:sz w:val="20"/>
              </w:rPr>
            </w:pPr>
            <w:r>
              <w:rPr>
                <w:b/>
                <w:sz w:val="20"/>
              </w:rPr>
              <w:t>46,648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2566"/>
        <w:gridCol w:w="1201"/>
        <w:gridCol w:w="1010"/>
        <w:gridCol w:w="987"/>
        <w:gridCol w:w="1624"/>
        <w:gridCol w:w="1010"/>
        <w:gridCol w:w="685"/>
        <w:gridCol w:w="1122"/>
      </w:tblGrid>
      <w:tr>
        <w:trPr/>
        <w:tc>
          <w:tcPr>
            <w:tcW w:w="2566" w:type="dxa"/>
            <w:tcBorders>
              <w:bottom w:val="single" w:sz="8" w:space="0" w:color="000000"/>
            </w:tcBorders>
            <w:vAlign w:val="center"/>
          </w:tcPr>
          <w:p>
            <w:pPr>
              <w:pStyle w:val="TableContents"/>
              <w:bidi w:val="0"/>
              <w:spacing w:before="0" w:after="283"/>
              <w:jc w:val="left"/>
              <w:rPr/>
            </w:pPr>
            <w:r>
              <w:rPr/>
              <w:t> </w:t>
            </w:r>
          </w:p>
        </w:tc>
        <w:tc>
          <w:tcPr>
            <w:tcW w:w="6517" w:type="dxa"/>
            <w:gridSpan w:val="6"/>
            <w:tcBorders>
              <w:bottom w:val="single" w:sz="8" w:space="0" w:color="000000"/>
            </w:tcBorders>
            <w:vAlign w:val="center"/>
          </w:tcPr>
          <w:p>
            <w:pPr>
              <w:pStyle w:val="TableContents"/>
              <w:bidi w:val="0"/>
              <w:spacing w:before="0" w:after="283"/>
              <w:jc w:val="center"/>
              <w:rPr>
                <w:b/>
                <w:sz w:val="20"/>
              </w:rPr>
            </w:pPr>
            <w:r>
              <w:rPr>
                <w:b/>
                <w:sz w:val="20"/>
              </w:rPr>
              <w:t>December 31, 2025</w:t>
            </w:r>
          </w:p>
        </w:tc>
        <w:tc>
          <w:tcPr>
            <w:tcW w:w="1122" w:type="dxa"/>
            <w:tcBorders>
              <w:bottom w:val="single" w:sz="8" w:space="0" w:color="000000"/>
            </w:tcBorders>
            <w:vAlign w:val="center"/>
          </w:tcPr>
          <w:p>
            <w:pPr>
              <w:pStyle w:val="TableContents"/>
              <w:bidi w:val="0"/>
              <w:spacing w:before="0" w:after="283"/>
              <w:jc w:val="left"/>
              <w:rPr/>
            </w:pPr>
            <w:r>
              <w:rPr/>
              <w:t> </w:t>
            </w:r>
          </w:p>
        </w:tc>
      </w:tr>
      <w:tr>
        <w:trPr/>
        <w:tc>
          <w:tcPr>
            <w:tcW w:w="2566" w:type="dxa"/>
            <w:tcBorders>
              <w:bottom w:val="single" w:sz="8" w:space="0" w:color="000000"/>
            </w:tcBorders>
            <w:vAlign w:val="center"/>
          </w:tcPr>
          <w:p>
            <w:pPr>
              <w:pStyle w:val="TableContents"/>
              <w:bidi w:val="0"/>
              <w:spacing w:before="0" w:after="283"/>
              <w:jc w:val="left"/>
              <w:rPr>
                <w:b/>
                <w:i/>
                <w:sz w:val="20"/>
              </w:rPr>
            </w:pPr>
            <w:r>
              <w:rPr>
                <w:b/>
                <w:i/>
                <w:sz w:val="20"/>
              </w:rPr>
              <w:t>Changes in cost</w:t>
            </w:r>
          </w:p>
        </w:tc>
        <w:tc>
          <w:tcPr>
            <w:tcW w:w="1201" w:type="dxa"/>
            <w:tcBorders>
              <w:bottom w:val="single" w:sz="8" w:space="0" w:color="000000"/>
            </w:tcBorders>
            <w:vAlign w:val="center"/>
          </w:tcPr>
          <w:p>
            <w:pPr>
              <w:pStyle w:val="TableContents"/>
              <w:bidi w:val="0"/>
              <w:spacing w:before="0" w:after="283"/>
              <w:jc w:val="center"/>
              <w:rPr>
                <w:b/>
              </w:rPr>
            </w:pPr>
            <w:r>
              <w:rPr>
                <w:b/>
              </w:rPr>
              <w:t>Opening balance</w:t>
            </w:r>
          </w:p>
        </w:tc>
        <w:tc>
          <w:tcPr>
            <w:tcW w:w="1010" w:type="dxa"/>
            <w:tcBorders>
              <w:bottom w:val="single" w:sz="8" w:space="0" w:color="000000"/>
            </w:tcBorders>
            <w:vAlign w:val="center"/>
          </w:tcPr>
          <w:p>
            <w:pPr>
              <w:pStyle w:val="TableContents"/>
              <w:bidi w:val="0"/>
              <w:spacing w:before="0" w:after="283"/>
              <w:jc w:val="center"/>
              <w:rPr>
                <w:b/>
              </w:rPr>
            </w:pPr>
            <w:r>
              <w:rPr>
                <w:b/>
              </w:rPr>
              <w:t>Additions</w:t>
            </w:r>
          </w:p>
        </w:tc>
        <w:tc>
          <w:tcPr>
            <w:tcW w:w="987" w:type="dxa"/>
            <w:tcBorders>
              <w:bottom w:val="single" w:sz="8" w:space="0" w:color="000000"/>
            </w:tcBorders>
            <w:vAlign w:val="center"/>
          </w:tcPr>
          <w:p>
            <w:pPr>
              <w:pStyle w:val="TableContents"/>
              <w:bidi w:val="0"/>
              <w:spacing w:before="0" w:after="283"/>
              <w:jc w:val="center"/>
              <w:rPr>
                <w:b/>
              </w:rPr>
            </w:pPr>
            <w:r>
              <w:rPr>
                <w:b/>
              </w:rPr>
              <w:t>Disposals</w:t>
            </w:r>
          </w:p>
        </w:tc>
        <w:tc>
          <w:tcPr>
            <w:tcW w:w="1624" w:type="dxa"/>
            <w:tcBorders>
              <w:bottom w:val="single" w:sz="8" w:space="0" w:color="000000"/>
            </w:tcBorders>
            <w:vAlign w:val="center"/>
          </w:tcPr>
          <w:p>
            <w:pPr>
              <w:pStyle w:val="TableContents"/>
              <w:bidi w:val="0"/>
              <w:spacing w:before="0" w:after="283"/>
              <w:jc w:val="center"/>
              <w:rPr>
                <w:b/>
              </w:rPr>
            </w:pPr>
            <w:r>
              <w:rPr>
                <w:b/>
              </w:rPr>
              <w:t>Business combination</w:t>
            </w:r>
          </w:p>
        </w:tc>
        <w:tc>
          <w:tcPr>
            <w:tcW w:w="1010" w:type="dxa"/>
            <w:tcBorders>
              <w:bottom w:val="single" w:sz="8" w:space="0" w:color="000000"/>
            </w:tcBorders>
            <w:vAlign w:val="center"/>
          </w:tcPr>
          <w:p>
            <w:pPr>
              <w:pStyle w:val="TableContents"/>
              <w:bidi w:val="0"/>
              <w:spacing w:before="0" w:after="283"/>
              <w:jc w:val="center"/>
              <w:rPr>
                <w:b/>
              </w:rPr>
            </w:pPr>
            <w:r>
              <w:rPr>
                <w:b/>
              </w:rPr>
              <w:t>Transfers</w:t>
            </w:r>
          </w:p>
        </w:tc>
        <w:tc>
          <w:tcPr>
            <w:tcW w:w="685" w:type="dxa"/>
            <w:tcBorders>
              <w:bottom w:val="single" w:sz="8" w:space="0" w:color="000000"/>
            </w:tcBorders>
            <w:vAlign w:val="center"/>
          </w:tcPr>
          <w:p>
            <w:pPr>
              <w:pStyle w:val="TableContents"/>
              <w:bidi w:val="0"/>
              <w:spacing w:before="0" w:after="283"/>
              <w:jc w:val="center"/>
              <w:rPr>
                <w:b/>
              </w:rPr>
            </w:pPr>
            <w:r>
              <w:rPr>
                <w:b/>
              </w:rPr>
              <w:t>CTA</w:t>
            </w:r>
            <w:r>
              <w:rPr>
                <w:b/>
                <w:position w:val="8"/>
                <w:sz w:val="19"/>
              </w:rPr>
              <w:t>(*)</w:t>
            </w:r>
          </w:p>
        </w:tc>
        <w:tc>
          <w:tcPr>
            <w:tcW w:w="1122" w:type="dxa"/>
            <w:tcBorders>
              <w:bottom w:val="single" w:sz="8" w:space="0" w:color="000000"/>
            </w:tcBorders>
            <w:vAlign w:val="center"/>
          </w:tcPr>
          <w:p>
            <w:pPr>
              <w:pStyle w:val="TableContents"/>
              <w:bidi w:val="0"/>
              <w:spacing w:before="0" w:after="283"/>
              <w:jc w:val="center"/>
              <w:rPr>
                <w:b/>
              </w:rPr>
            </w:pPr>
            <w:r>
              <w:rPr>
                <w:b/>
              </w:rPr>
              <w:t>Closing balance</w:t>
            </w:r>
          </w:p>
        </w:tc>
      </w:tr>
      <w:tr>
        <w:trPr/>
        <w:tc>
          <w:tcPr>
            <w:tcW w:w="2566"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283"/>
              <w:jc w:val="right"/>
              <w:rPr/>
            </w:pPr>
            <w:r>
              <w:rPr/>
              <w:t> </w:t>
            </w:r>
          </w:p>
        </w:tc>
        <w:tc>
          <w:tcPr>
            <w:tcW w:w="1010" w:type="dxa"/>
            <w:tcBorders/>
            <w:tcMar>
              <w:bottom w:w="0" w:type="dxa"/>
            </w:tcMar>
            <w:vAlign w:val="center"/>
          </w:tcPr>
          <w:p>
            <w:pPr>
              <w:pStyle w:val="TableContents"/>
              <w:bidi w:val="0"/>
              <w:spacing w:before="0" w:after="283"/>
              <w:jc w:val="right"/>
              <w:rPr/>
            </w:pPr>
            <w:r>
              <w:rPr/>
              <w:t> </w:t>
            </w:r>
          </w:p>
        </w:tc>
        <w:tc>
          <w:tcPr>
            <w:tcW w:w="987" w:type="dxa"/>
            <w:tcBorders/>
            <w:tcMar>
              <w:bottom w:w="0" w:type="dxa"/>
            </w:tcMar>
            <w:vAlign w:val="center"/>
          </w:tcPr>
          <w:p>
            <w:pPr>
              <w:pStyle w:val="TableContents"/>
              <w:bidi w:val="0"/>
              <w:spacing w:before="0" w:after="283"/>
              <w:jc w:val="right"/>
              <w:rPr/>
            </w:pPr>
            <w:r>
              <w:rPr/>
              <w:t> </w:t>
            </w:r>
          </w:p>
        </w:tc>
        <w:tc>
          <w:tcPr>
            <w:tcW w:w="1624" w:type="dxa"/>
            <w:tcBorders/>
            <w:tcMar>
              <w:bottom w:w="0" w:type="dxa"/>
            </w:tcMar>
            <w:vAlign w:val="center"/>
          </w:tcPr>
          <w:p>
            <w:pPr>
              <w:pStyle w:val="TableContents"/>
              <w:bidi w:val="0"/>
              <w:spacing w:before="0" w:after="283"/>
              <w:jc w:val="right"/>
              <w:rPr/>
            </w:pPr>
            <w:r>
              <w:rPr/>
              <w:t> </w:t>
            </w:r>
          </w:p>
        </w:tc>
        <w:tc>
          <w:tcPr>
            <w:tcW w:w="1010" w:type="dxa"/>
            <w:tcBorders/>
            <w:tcMar>
              <w:bottom w:w="0" w:type="dxa"/>
            </w:tcMar>
            <w:vAlign w:val="center"/>
          </w:tcPr>
          <w:p>
            <w:pPr>
              <w:pStyle w:val="TableContents"/>
              <w:bidi w:val="0"/>
              <w:spacing w:before="0" w:after="283"/>
              <w:jc w:val="right"/>
              <w:rPr/>
            </w:pPr>
            <w:r>
              <w:rPr/>
              <w:t> </w:t>
            </w:r>
          </w:p>
        </w:tc>
        <w:tc>
          <w:tcPr>
            <w:tcW w:w="685" w:type="dxa"/>
            <w:tcBorders/>
            <w:tcMar>
              <w:bottom w:w="0" w:type="dxa"/>
            </w:tcMar>
            <w:vAlign w:val="center"/>
          </w:tcPr>
          <w:p>
            <w:pPr>
              <w:pStyle w:val="TableContents"/>
              <w:bidi w:val="0"/>
              <w:spacing w:before="0" w:after="283"/>
              <w:jc w:val="right"/>
              <w:rPr/>
            </w:pPr>
            <w:r>
              <w:rPr/>
              <w:t> </w:t>
            </w:r>
          </w:p>
        </w:tc>
        <w:tc>
          <w:tcPr>
            <w:tcW w:w="1122" w:type="dxa"/>
            <w:tcBorders/>
            <w:tcMar>
              <w:bottom w:w="0" w:type="dxa"/>
            </w:tcMar>
            <w:vAlign w:val="center"/>
          </w:tcPr>
          <w:p>
            <w:pPr>
              <w:pStyle w:val="TableContents"/>
              <w:bidi w:val="0"/>
              <w:spacing w:before="0" w:after="283"/>
              <w:jc w:val="right"/>
              <w:rPr/>
            </w:pPr>
            <w:r>
              <w:rPr/>
              <w:t> </w:t>
            </w:r>
          </w:p>
        </w:tc>
      </w:tr>
      <w:tr>
        <w:trPr/>
        <w:tc>
          <w:tcPr>
            <w:tcW w:w="2566" w:type="dxa"/>
            <w:tcBorders/>
            <w:shd w:fill="D5EAEA" w:val="clear"/>
            <w:tcMar>
              <w:bottom w:w="0" w:type="dxa"/>
            </w:tcMar>
            <w:vAlign w:val="center"/>
          </w:tcPr>
          <w:p>
            <w:pPr>
              <w:pStyle w:val="TableContents"/>
              <w:bidi w:val="0"/>
              <w:spacing w:before="0" w:after="283"/>
              <w:jc w:val="left"/>
              <w:rPr/>
            </w:pPr>
            <w:r>
              <w:rPr/>
              <w:t>Furniture and fixtures</w:t>
            </w:r>
          </w:p>
        </w:tc>
        <w:tc>
          <w:tcPr>
            <w:tcW w:w="1201" w:type="dxa"/>
            <w:tcBorders/>
            <w:shd w:fill="D5EAEA" w:val="clear"/>
            <w:tcMar>
              <w:bottom w:w="0" w:type="dxa"/>
            </w:tcMar>
            <w:vAlign w:val="center"/>
          </w:tcPr>
          <w:p>
            <w:pPr>
              <w:pStyle w:val="TableContents"/>
              <w:bidi w:val="0"/>
              <w:spacing w:before="0" w:after="283"/>
              <w:jc w:val="right"/>
              <w:rPr/>
            </w:pPr>
            <w:r>
              <w:rPr/>
              <w:tab/>
              <w:t>2,337</w:t>
              <w:tab/>
            </w:r>
          </w:p>
        </w:tc>
        <w:tc>
          <w:tcPr>
            <w:tcW w:w="1010" w:type="dxa"/>
            <w:tcBorders/>
            <w:shd w:fill="D5EAEA" w:val="clear"/>
            <w:tcMar>
              <w:bottom w:w="0" w:type="dxa"/>
            </w:tcMar>
            <w:vAlign w:val="center"/>
          </w:tcPr>
          <w:p>
            <w:pPr>
              <w:pStyle w:val="TableContents"/>
              <w:bidi w:val="0"/>
              <w:spacing w:before="0" w:after="283"/>
              <w:jc w:val="right"/>
              <w:rPr/>
            </w:pPr>
            <w:r>
              <w:rPr/>
              <w:tab/>
              <w:t>250</w:t>
              <w:tab/>
            </w:r>
          </w:p>
        </w:tc>
        <w:tc>
          <w:tcPr>
            <w:tcW w:w="987" w:type="dxa"/>
            <w:tcBorders/>
            <w:shd w:fill="D5EAEA" w:val="clear"/>
            <w:tcMar>
              <w:bottom w:w="0" w:type="dxa"/>
            </w:tcMar>
            <w:vAlign w:val="center"/>
          </w:tcPr>
          <w:p>
            <w:pPr>
              <w:pStyle w:val="TableContents"/>
              <w:bidi w:val="0"/>
              <w:spacing w:before="0" w:after="283"/>
              <w:jc w:val="right"/>
              <w:rPr/>
            </w:pPr>
            <w:r>
              <w:rPr/>
              <w:tab/>
              <w:t>—</w:t>
              <w:tab/>
            </w:r>
          </w:p>
        </w:tc>
        <w:tc>
          <w:tcPr>
            <w:tcW w:w="1624" w:type="dxa"/>
            <w:tcBorders/>
            <w:shd w:fill="D5EAEA" w:val="clear"/>
            <w:tcMar>
              <w:bottom w:w="0" w:type="dxa"/>
            </w:tcMar>
            <w:vAlign w:val="center"/>
          </w:tcPr>
          <w:p>
            <w:pPr>
              <w:pStyle w:val="TableContents"/>
              <w:bidi w:val="0"/>
              <w:spacing w:before="0" w:after="283"/>
              <w:jc w:val="right"/>
              <w:rPr/>
            </w:pPr>
            <w:r>
              <w:rPr/>
              <w:t>-</w:t>
            </w:r>
          </w:p>
        </w:tc>
        <w:tc>
          <w:tcPr>
            <w:tcW w:w="1010" w:type="dxa"/>
            <w:tcBorders/>
            <w:shd w:fill="D5EAEA" w:val="clear"/>
            <w:tcMar>
              <w:bottom w:w="0" w:type="dxa"/>
            </w:tcMar>
            <w:vAlign w:val="center"/>
          </w:tcPr>
          <w:p>
            <w:pPr>
              <w:pStyle w:val="TableContents"/>
              <w:bidi w:val="0"/>
              <w:spacing w:before="0" w:after="283"/>
              <w:jc w:val="right"/>
              <w:rPr/>
            </w:pPr>
            <w:r>
              <w:rPr/>
              <w:t>-</w:t>
            </w:r>
          </w:p>
        </w:tc>
        <w:tc>
          <w:tcPr>
            <w:tcW w:w="685" w:type="dxa"/>
            <w:tcBorders/>
            <w:shd w:fill="D5EAEA" w:val="clear"/>
            <w:tcMar>
              <w:bottom w:w="0" w:type="dxa"/>
            </w:tcMar>
            <w:vAlign w:val="center"/>
          </w:tcPr>
          <w:p>
            <w:pPr>
              <w:pStyle w:val="TableContents"/>
              <w:bidi w:val="0"/>
              <w:spacing w:before="0" w:after="283"/>
              <w:jc w:val="right"/>
              <w:rPr/>
            </w:pPr>
            <w:r>
              <w:rPr/>
              <w:tab/>
              <w:t>200</w:t>
              <w:tab/>
            </w:r>
          </w:p>
        </w:tc>
        <w:tc>
          <w:tcPr>
            <w:tcW w:w="1122" w:type="dxa"/>
            <w:tcBorders/>
            <w:shd w:fill="D5EAEA" w:val="clear"/>
            <w:tcMar>
              <w:bottom w:w="0" w:type="dxa"/>
            </w:tcMar>
            <w:vAlign w:val="center"/>
          </w:tcPr>
          <w:p>
            <w:pPr>
              <w:pStyle w:val="TableContents"/>
              <w:bidi w:val="0"/>
              <w:spacing w:before="0" w:after="283"/>
              <w:jc w:val="right"/>
              <w:rPr/>
            </w:pPr>
            <w:r>
              <w:rPr/>
              <w:tab/>
              <w:t>2,787</w:t>
              <w:tab/>
            </w:r>
          </w:p>
        </w:tc>
      </w:tr>
      <w:tr>
        <w:trPr/>
        <w:tc>
          <w:tcPr>
            <w:tcW w:w="2566" w:type="dxa"/>
            <w:tcBorders/>
            <w:shd w:fill="FFFFFF" w:val="clear"/>
            <w:tcMar>
              <w:bottom w:w="0" w:type="dxa"/>
            </w:tcMar>
            <w:vAlign w:val="center"/>
          </w:tcPr>
          <w:p>
            <w:pPr>
              <w:pStyle w:val="TableContents"/>
              <w:bidi w:val="0"/>
              <w:spacing w:before="0" w:after="283"/>
              <w:jc w:val="left"/>
              <w:rPr/>
            </w:pPr>
            <w:r>
              <w:rPr/>
              <w:t>Building improvements</w:t>
            </w:r>
          </w:p>
        </w:tc>
        <w:tc>
          <w:tcPr>
            <w:tcW w:w="1201" w:type="dxa"/>
            <w:tcBorders/>
            <w:shd w:fill="FFFFFF" w:val="clear"/>
            <w:tcMar>
              <w:bottom w:w="0" w:type="dxa"/>
            </w:tcMar>
            <w:vAlign w:val="center"/>
          </w:tcPr>
          <w:p>
            <w:pPr>
              <w:pStyle w:val="TableContents"/>
              <w:bidi w:val="0"/>
              <w:spacing w:before="0" w:after="283"/>
              <w:jc w:val="right"/>
              <w:rPr/>
            </w:pPr>
            <w:r>
              <w:rPr/>
              <w:tab/>
              <w:t>11,778</w:t>
              <w:tab/>
            </w:r>
          </w:p>
        </w:tc>
        <w:tc>
          <w:tcPr>
            <w:tcW w:w="1010" w:type="dxa"/>
            <w:tcBorders/>
            <w:shd w:fill="FFFFFF" w:val="clear"/>
            <w:tcMar>
              <w:bottom w:w="0" w:type="dxa"/>
            </w:tcMar>
            <w:vAlign w:val="center"/>
          </w:tcPr>
          <w:p>
            <w:pPr>
              <w:pStyle w:val="TableContents"/>
              <w:bidi w:val="0"/>
              <w:spacing w:before="0" w:after="283"/>
              <w:jc w:val="right"/>
              <w:rPr/>
            </w:pPr>
            <w:r>
              <w:rPr/>
              <w:tab/>
              <w:t>3,174</w:t>
              <w:tab/>
            </w:r>
          </w:p>
        </w:tc>
        <w:tc>
          <w:tcPr>
            <w:tcW w:w="987" w:type="dxa"/>
            <w:tcBorders/>
            <w:shd w:fill="FFFFFF" w:val="clear"/>
            <w:tcMar>
              <w:bottom w:w="0" w:type="dxa"/>
            </w:tcMar>
            <w:vAlign w:val="center"/>
          </w:tcPr>
          <w:p>
            <w:pPr>
              <w:pStyle w:val="TableContents"/>
              <w:bidi w:val="0"/>
              <w:spacing w:before="0" w:after="283"/>
              <w:jc w:val="right"/>
              <w:rPr/>
            </w:pPr>
            <w:r>
              <w:rPr/>
              <w:tab/>
              <w:t>—</w:t>
              <w:tab/>
            </w:r>
          </w:p>
        </w:tc>
        <w:tc>
          <w:tcPr>
            <w:tcW w:w="1624" w:type="dxa"/>
            <w:tcBorders/>
            <w:shd w:fill="FFFFFF" w:val="clear"/>
            <w:tcMar>
              <w:bottom w:w="0" w:type="dxa"/>
            </w:tcMar>
            <w:vAlign w:val="center"/>
          </w:tcPr>
          <w:p>
            <w:pPr>
              <w:pStyle w:val="TableContents"/>
              <w:bidi w:val="0"/>
              <w:spacing w:before="0" w:after="283"/>
              <w:jc w:val="right"/>
              <w:rPr/>
            </w:pPr>
            <w:r>
              <w:rPr/>
              <w:t>-</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685" w:type="dxa"/>
            <w:tcBorders/>
            <w:shd w:fill="FFFFFF" w:val="clear"/>
            <w:tcMar>
              <w:bottom w:w="0" w:type="dxa"/>
            </w:tcMar>
            <w:vAlign w:val="center"/>
          </w:tcPr>
          <w:p>
            <w:pPr>
              <w:pStyle w:val="TableContents"/>
              <w:bidi w:val="0"/>
              <w:spacing w:before="0" w:after="283"/>
              <w:jc w:val="right"/>
              <w:rPr/>
            </w:pPr>
            <w:r>
              <w:rPr/>
              <w:tab/>
              <w:t>1,067</w:t>
              <w:tab/>
            </w:r>
          </w:p>
        </w:tc>
        <w:tc>
          <w:tcPr>
            <w:tcW w:w="1122" w:type="dxa"/>
            <w:tcBorders/>
            <w:shd w:fill="FFFFFF" w:val="clear"/>
            <w:tcMar>
              <w:bottom w:w="0" w:type="dxa"/>
            </w:tcMar>
            <w:vAlign w:val="center"/>
          </w:tcPr>
          <w:p>
            <w:pPr>
              <w:pStyle w:val="TableContents"/>
              <w:bidi w:val="0"/>
              <w:spacing w:before="0" w:after="283"/>
              <w:jc w:val="right"/>
              <w:rPr/>
            </w:pPr>
            <w:r>
              <w:rPr/>
              <w:tab/>
              <w:t>16,019</w:t>
              <w:tab/>
            </w:r>
          </w:p>
        </w:tc>
      </w:tr>
      <w:tr>
        <w:trPr/>
        <w:tc>
          <w:tcPr>
            <w:tcW w:w="2566" w:type="dxa"/>
            <w:tcBorders/>
            <w:shd w:fill="D5EAEA" w:val="clear"/>
            <w:tcMar>
              <w:bottom w:w="0" w:type="dxa"/>
            </w:tcMar>
            <w:vAlign w:val="center"/>
          </w:tcPr>
          <w:p>
            <w:pPr>
              <w:pStyle w:val="TableContents"/>
              <w:bidi w:val="0"/>
              <w:spacing w:before="0" w:after="283"/>
              <w:jc w:val="left"/>
              <w:rPr/>
            </w:pPr>
            <w:r>
              <w:rPr/>
              <w:t>Work-in-progress</w:t>
            </w:r>
          </w:p>
        </w:tc>
        <w:tc>
          <w:tcPr>
            <w:tcW w:w="1201" w:type="dxa"/>
            <w:tcBorders/>
            <w:shd w:fill="D5EAEA" w:val="clear"/>
            <w:tcMar>
              <w:bottom w:w="0" w:type="dxa"/>
            </w:tcMar>
            <w:vAlign w:val="center"/>
          </w:tcPr>
          <w:p>
            <w:pPr>
              <w:pStyle w:val="TableContents"/>
              <w:bidi w:val="0"/>
              <w:spacing w:before="0" w:after="283"/>
              <w:jc w:val="right"/>
              <w:rPr/>
            </w:pPr>
            <w:r>
              <w:rPr/>
              <w:tab/>
              <w:t>1,581</w:t>
              <w:tab/>
            </w:r>
          </w:p>
        </w:tc>
        <w:tc>
          <w:tcPr>
            <w:tcW w:w="1010" w:type="dxa"/>
            <w:tcBorders/>
            <w:shd w:fill="D5EAEA" w:val="clear"/>
            <w:tcMar>
              <w:bottom w:w="0" w:type="dxa"/>
            </w:tcMar>
            <w:vAlign w:val="center"/>
          </w:tcPr>
          <w:p>
            <w:pPr>
              <w:pStyle w:val="TableContents"/>
              <w:bidi w:val="0"/>
              <w:spacing w:before="0" w:after="283"/>
              <w:jc w:val="right"/>
              <w:rPr/>
            </w:pPr>
            <w:r>
              <w:rPr/>
              <w:tab/>
              <w:t>6,595</w:t>
              <w:tab/>
            </w:r>
          </w:p>
        </w:tc>
        <w:tc>
          <w:tcPr>
            <w:tcW w:w="987" w:type="dxa"/>
            <w:tcBorders/>
            <w:shd w:fill="D5EAEA" w:val="clear"/>
            <w:tcMar>
              <w:bottom w:w="0" w:type="dxa"/>
            </w:tcMar>
            <w:vAlign w:val="center"/>
          </w:tcPr>
          <w:p>
            <w:pPr>
              <w:pStyle w:val="TableContents"/>
              <w:bidi w:val="0"/>
              <w:spacing w:before="0" w:after="283"/>
              <w:jc w:val="right"/>
              <w:rPr/>
            </w:pPr>
            <w:r>
              <w:rPr/>
              <w:tab/>
              <w:t>—</w:t>
              <w:tab/>
            </w:r>
          </w:p>
        </w:tc>
        <w:tc>
          <w:tcPr>
            <w:tcW w:w="1624" w:type="dxa"/>
            <w:tcBorders/>
            <w:shd w:fill="D5EAEA" w:val="clear"/>
            <w:tcMar>
              <w:bottom w:w="0" w:type="dxa"/>
            </w:tcMar>
            <w:vAlign w:val="center"/>
          </w:tcPr>
          <w:p>
            <w:pPr>
              <w:pStyle w:val="TableContents"/>
              <w:bidi w:val="0"/>
              <w:spacing w:before="0" w:after="283"/>
              <w:jc w:val="right"/>
              <w:rPr/>
            </w:pPr>
            <w:r>
              <w:rPr/>
              <w:t>-</w:t>
            </w:r>
          </w:p>
        </w:tc>
        <w:tc>
          <w:tcPr>
            <w:tcW w:w="1010" w:type="dxa"/>
            <w:tcBorders/>
            <w:shd w:fill="D5EAEA" w:val="clear"/>
            <w:tcMar>
              <w:bottom w:w="0" w:type="dxa"/>
            </w:tcMar>
            <w:vAlign w:val="center"/>
          </w:tcPr>
          <w:p>
            <w:pPr>
              <w:pStyle w:val="TableContents"/>
              <w:bidi w:val="0"/>
              <w:spacing w:before="0" w:after="283"/>
              <w:jc w:val="right"/>
              <w:rPr/>
            </w:pPr>
            <w:r>
              <w:rPr/>
              <w:t>-</w:t>
            </w:r>
          </w:p>
        </w:tc>
        <w:tc>
          <w:tcPr>
            <w:tcW w:w="685" w:type="dxa"/>
            <w:tcBorders/>
            <w:shd w:fill="D5EAEA" w:val="clear"/>
            <w:tcMar>
              <w:bottom w:w="0" w:type="dxa"/>
            </w:tcMar>
            <w:vAlign w:val="center"/>
          </w:tcPr>
          <w:p>
            <w:pPr>
              <w:pStyle w:val="TableContents"/>
              <w:bidi w:val="0"/>
              <w:spacing w:before="0" w:after="283"/>
              <w:jc w:val="right"/>
              <w:rPr/>
            </w:pPr>
            <w:r>
              <w:rPr/>
              <w:tab/>
              <w:t>253</w:t>
              <w:tab/>
            </w:r>
          </w:p>
        </w:tc>
        <w:tc>
          <w:tcPr>
            <w:tcW w:w="1122" w:type="dxa"/>
            <w:tcBorders/>
            <w:shd w:fill="D5EAEA" w:val="clear"/>
            <w:tcMar>
              <w:bottom w:w="0" w:type="dxa"/>
            </w:tcMar>
            <w:vAlign w:val="center"/>
          </w:tcPr>
          <w:p>
            <w:pPr>
              <w:pStyle w:val="TableContents"/>
              <w:bidi w:val="0"/>
              <w:spacing w:before="0" w:after="283"/>
              <w:jc w:val="right"/>
              <w:rPr/>
            </w:pPr>
            <w:r>
              <w:rPr/>
              <w:tab/>
              <w:t>8,429</w:t>
              <w:tab/>
            </w:r>
          </w:p>
        </w:tc>
      </w:tr>
      <w:tr>
        <w:trPr/>
        <w:tc>
          <w:tcPr>
            <w:tcW w:w="2566" w:type="dxa"/>
            <w:tcBorders/>
            <w:shd w:fill="FFFFFF" w:val="clear"/>
            <w:tcMar>
              <w:bottom w:w="0" w:type="dxa"/>
            </w:tcMar>
            <w:vAlign w:val="center"/>
          </w:tcPr>
          <w:p>
            <w:pPr>
              <w:pStyle w:val="TableContents"/>
              <w:bidi w:val="0"/>
              <w:spacing w:before="0" w:after="283"/>
              <w:jc w:val="left"/>
              <w:rPr/>
            </w:pPr>
            <w:r>
              <w:rPr/>
              <w:t>Office equipment</w:t>
            </w:r>
          </w:p>
        </w:tc>
        <w:tc>
          <w:tcPr>
            <w:tcW w:w="1201" w:type="dxa"/>
            <w:tcBorders/>
            <w:shd w:fill="FFFFFF" w:val="clear"/>
            <w:tcMar>
              <w:bottom w:w="0" w:type="dxa"/>
            </w:tcMar>
            <w:vAlign w:val="center"/>
          </w:tcPr>
          <w:p>
            <w:pPr>
              <w:pStyle w:val="TableContents"/>
              <w:bidi w:val="0"/>
              <w:spacing w:before="0" w:after="283"/>
              <w:jc w:val="right"/>
              <w:rPr/>
            </w:pPr>
            <w:r>
              <w:rPr/>
              <w:tab/>
              <w:t>6,302</w:t>
              <w:tab/>
            </w:r>
          </w:p>
        </w:tc>
        <w:tc>
          <w:tcPr>
            <w:tcW w:w="1010" w:type="dxa"/>
            <w:tcBorders/>
            <w:shd w:fill="FFFFFF" w:val="clear"/>
            <w:tcMar>
              <w:bottom w:w="0" w:type="dxa"/>
            </w:tcMar>
            <w:vAlign w:val="center"/>
          </w:tcPr>
          <w:p>
            <w:pPr>
              <w:pStyle w:val="TableContents"/>
              <w:bidi w:val="0"/>
              <w:spacing w:before="0" w:after="283"/>
              <w:jc w:val="right"/>
              <w:rPr/>
            </w:pPr>
            <w:r>
              <w:rPr/>
              <w:tab/>
              <w:t>465</w:t>
              <w:tab/>
            </w:r>
          </w:p>
        </w:tc>
        <w:tc>
          <w:tcPr>
            <w:tcW w:w="987" w:type="dxa"/>
            <w:tcBorders/>
            <w:shd w:fill="FFFFFF" w:val="clear"/>
            <w:tcMar>
              <w:bottom w:w="0" w:type="dxa"/>
            </w:tcMar>
            <w:vAlign w:val="center"/>
          </w:tcPr>
          <w:p>
            <w:pPr>
              <w:pStyle w:val="TableContents"/>
              <w:bidi w:val="0"/>
              <w:spacing w:before="0" w:after="283"/>
              <w:jc w:val="right"/>
              <w:rPr/>
            </w:pPr>
            <w:r>
              <w:rPr/>
              <w:tab/>
              <w:t>(59)</w:t>
            </w:r>
          </w:p>
        </w:tc>
        <w:tc>
          <w:tcPr>
            <w:tcW w:w="1624" w:type="dxa"/>
            <w:tcBorders/>
            <w:shd w:fill="FFFFFF" w:val="clear"/>
            <w:tcMar>
              <w:bottom w:w="0" w:type="dxa"/>
            </w:tcMar>
            <w:vAlign w:val="center"/>
          </w:tcPr>
          <w:p>
            <w:pPr>
              <w:pStyle w:val="TableContents"/>
              <w:bidi w:val="0"/>
              <w:spacing w:before="0" w:after="283"/>
              <w:jc w:val="right"/>
              <w:rPr/>
            </w:pPr>
            <w:r>
              <w:rPr/>
              <w:t>-</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685" w:type="dxa"/>
            <w:tcBorders/>
            <w:shd w:fill="FFFFFF" w:val="clear"/>
            <w:tcMar>
              <w:bottom w:w="0" w:type="dxa"/>
            </w:tcMar>
            <w:vAlign w:val="center"/>
          </w:tcPr>
          <w:p>
            <w:pPr>
              <w:pStyle w:val="TableContents"/>
              <w:bidi w:val="0"/>
              <w:spacing w:before="0" w:after="283"/>
              <w:jc w:val="right"/>
              <w:rPr/>
            </w:pPr>
            <w:r>
              <w:rPr/>
              <w:tab/>
              <w:t>636</w:t>
              <w:tab/>
            </w:r>
          </w:p>
        </w:tc>
        <w:tc>
          <w:tcPr>
            <w:tcW w:w="1122" w:type="dxa"/>
            <w:tcBorders/>
            <w:shd w:fill="FFFFFF" w:val="clear"/>
            <w:tcMar>
              <w:bottom w:w="0" w:type="dxa"/>
            </w:tcMar>
            <w:vAlign w:val="center"/>
          </w:tcPr>
          <w:p>
            <w:pPr>
              <w:pStyle w:val="TableContents"/>
              <w:bidi w:val="0"/>
              <w:spacing w:before="0" w:after="283"/>
              <w:jc w:val="right"/>
              <w:rPr/>
            </w:pPr>
            <w:r>
              <w:rPr/>
              <w:tab/>
              <w:t>7,344</w:t>
              <w:tab/>
            </w:r>
          </w:p>
        </w:tc>
      </w:tr>
      <w:tr>
        <w:trPr/>
        <w:tc>
          <w:tcPr>
            <w:tcW w:w="2566" w:type="dxa"/>
            <w:tcBorders/>
            <w:shd w:fill="D5EAEA" w:val="clear"/>
            <w:tcMar>
              <w:bottom w:w="0" w:type="dxa"/>
            </w:tcMar>
            <w:vAlign w:val="center"/>
          </w:tcPr>
          <w:p>
            <w:pPr>
              <w:pStyle w:val="TableContents"/>
              <w:bidi w:val="0"/>
              <w:spacing w:before="0" w:after="283"/>
              <w:jc w:val="left"/>
              <w:rPr/>
            </w:pPr>
            <w:r>
              <w:rPr/>
              <w:t>Right-of-use assets (a)</w:t>
            </w:r>
          </w:p>
        </w:tc>
        <w:tc>
          <w:tcPr>
            <w:tcW w:w="1201" w:type="dxa"/>
            <w:tcBorders>
              <w:bottom w:val="single" w:sz="8" w:space="0" w:color="000000"/>
            </w:tcBorders>
            <w:shd w:fill="D5EAEA" w:val="clear"/>
            <w:vAlign w:val="center"/>
          </w:tcPr>
          <w:p>
            <w:pPr>
              <w:pStyle w:val="TableContents"/>
              <w:bidi w:val="0"/>
              <w:spacing w:before="0" w:after="283"/>
              <w:jc w:val="right"/>
              <w:rPr/>
            </w:pPr>
            <w:r>
              <w:rPr/>
              <w:tab/>
              <w:t>29,243</w:t>
              <w:tab/>
            </w:r>
          </w:p>
        </w:tc>
        <w:tc>
          <w:tcPr>
            <w:tcW w:w="1010" w:type="dxa"/>
            <w:tcBorders>
              <w:bottom w:val="single" w:sz="8" w:space="0" w:color="000000"/>
            </w:tcBorders>
            <w:shd w:fill="D5EAEA" w:val="clear"/>
            <w:vAlign w:val="center"/>
          </w:tcPr>
          <w:p>
            <w:pPr>
              <w:pStyle w:val="TableContents"/>
              <w:bidi w:val="0"/>
              <w:spacing w:before="0" w:after="283"/>
              <w:jc w:val="right"/>
              <w:rPr/>
            </w:pPr>
            <w:r>
              <w:rPr/>
              <w:tab/>
              <w:t>2,194</w:t>
              <w:tab/>
            </w:r>
          </w:p>
        </w:tc>
        <w:tc>
          <w:tcPr>
            <w:tcW w:w="987" w:type="dxa"/>
            <w:tcBorders>
              <w:bottom w:val="single" w:sz="8" w:space="0" w:color="000000"/>
            </w:tcBorders>
            <w:shd w:fill="D5EAEA" w:val="clear"/>
            <w:vAlign w:val="center"/>
          </w:tcPr>
          <w:p>
            <w:pPr>
              <w:pStyle w:val="TableContents"/>
              <w:bidi w:val="0"/>
              <w:spacing w:before="0" w:after="283"/>
              <w:jc w:val="right"/>
              <w:rPr/>
            </w:pPr>
            <w:r>
              <w:rPr/>
              <w:tab/>
              <w:t>—</w:t>
              <w:tab/>
            </w:r>
          </w:p>
        </w:tc>
        <w:tc>
          <w:tcPr>
            <w:tcW w:w="1624" w:type="dxa"/>
            <w:tcBorders>
              <w:bottom w:val="single" w:sz="8" w:space="0" w:color="000000"/>
            </w:tcBorders>
            <w:shd w:fill="D5EAEA" w:val="clear"/>
            <w:vAlign w:val="center"/>
          </w:tcPr>
          <w:p>
            <w:pPr>
              <w:pStyle w:val="TableContents"/>
              <w:bidi w:val="0"/>
              <w:spacing w:before="0" w:after="283"/>
              <w:jc w:val="right"/>
              <w:rPr/>
            </w:pPr>
            <w:r>
              <w:rPr/>
              <w:t>-</w:t>
            </w:r>
          </w:p>
        </w:tc>
        <w:tc>
          <w:tcPr>
            <w:tcW w:w="1010" w:type="dxa"/>
            <w:tcBorders>
              <w:bottom w:val="single" w:sz="8" w:space="0" w:color="000000"/>
            </w:tcBorders>
            <w:shd w:fill="D5EAEA" w:val="clear"/>
            <w:vAlign w:val="center"/>
          </w:tcPr>
          <w:p>
            <w:pPr>
              <w:pStyle w:val="TableContents"/>
              <w:bidi w:val="0"/>
              <w:spacing w:before="0" w:after="283"/>
              <w:jc w:val="right"/>
              <w:rPr/>
            </w:pPr>
            <w:r>
              <w:rPr/>
              <w:t>-</w:t>
            </w:r>
          </w:p>
        </w:tc>
        <w:tc>
          <w:tcPr>
            <w:tcW w:w="685" w:type="dxa"/>
            <w:tcBorders>
              <w:bottom w:val="single" w:sz="8" w:space="0" w:color="000000"/>
            </w:tcBorders>
            <w:shd w:fill="D5EAEA" w:val="clear"/>
            <w:vAlign w:val="center"/>
          </w:tcPr>
          <w:p>
            <w:pPr>
              <w:pStyle w:val="TableContents"/>
              <w:bidi w:val="0"/>
              <w:spacing w:before="0" w:after="283"/>
              <w:jc w:val="right"/>
              <w:rPr/>
            </w:pPr>
            <w:r>
              <w:rPr/>
              <w:tab/>
              <w:t>2,337</w:t>
              <w:tab/>
            </w:r>
          </w:p>
        </w:tc>
        <w:tc>
          <w:tcPr>
            <w:tcW w:w="1122" w:type="dxa"/>
            <w:tcBorders>
              <w:bottom w:val="single" w:sz="8" w:space="0" w:color="000000"/>
            </w:tcBorders>
            <w:shd w:fill="D5EAEA" w:val="clear"/>
            <w:vAlign w:val="center"/>
          </w:tcPr>
          <w:p>
            <w:pPr>
              <w:pStyle w:val="TableContents"/>
              <w:bidi w:val="0"/>
              <w:spacing w:before="0" w:after="283"/>
              <w:jc w:val="right"/>
              <w:rPr/>
            </w:pPr>
            <w:r>
              <w:rPr/>
              <w:tab/>
              <w:t>33,774</w:t>
              <w:tab/>
            </w:r>
          </w:p>
        </w:tc>
      </w:tr>
      <w:tr>
        <w:trPr/>
        <w:tc>
          <w:tcPr>
            <w:tcW w:w="2566" w:type="dxa"/>
            <w:tcBorders/>
            <w:shd w:fill="FFFFFF" w:val="clear"/>
            <w:tcMar>
              <w:bottom w:w="0" w:type="dxa"/>
            </w:tcMar>
            <w:vAlign w:val="center"/>
          </w:tcPr>
          <w:p>
            <w:pPr>
              <w:pStyle w:val="TableContents"/>
              <w:bidi w:val="0"/>
              <w:spacing w:before="0" w:after="283"/>
              <w:jc w:val="left"/>
              <w:rPr>
                <w:b/>
              </w:rPr>
            </w:pPr>
            <w:r>
              <w:rPr>
                <w:b/>
              </w:rPr>
              <w:t>Total - Cost of property and equipment</w:t>
            </w:r>
          </w:p>
        </w:tc>
        <w:tc>
          <w:tcPr>
            <w:tcW w:w="1201" w:type="dxa"/>
            <w:tcBorders>
              <w:bottom w:val="double" w:sz="6" w:space="0" w:color="000000"/>
            </w:tcBorders>
            <w:shd w:fill="FFFFFF" w:val="clear"/>
            <w:vAlign w:val="center"/>
          </w:tcPr>
          <w:p>
            <w:pPr>
              <w:pStyle w:val="TableContents"/>
              <w:bidi w:val="0"/>
              <w:spacing w:before="0" w:after="283"/>
              <w:jc w:val="right"/>
              <w:rPr>
                <w:b/>
              </w:rPr>
            </w:pPr>
            <w:r>
              <w:rPr>
                <w:b/>
              </w:rPr>
              <w:tab/>
              <w:t>51,241</w:t>
              <w:tab/>
            </w:r>
          </w:p>
        </w:tc>
        <w:tc>
          <w:tcPr>
            <w:tcW w:w="1010" w:type="dxa"/>
            <w:tcBorders>
              <w:bottom w:val="double" w:sz="6" w:space="0" w:color="000000"/>
            </w:tcBorders>
            <w:shd w:fill="FFFFFF" w:val="clear"/>
            <w:vAlign w:val="center"/>
          </w:tcPr>
          <w:p>
            <w:pPr>
              <w:pStyle w:val="TableContents"/>
              <w:bidi w:val="0"/>
              <w:spacing w:before="0" w:after="283"/>
              <w:jc w:val="right"/>
              <w:rPr>
                <w:b/>
              </w:rPr>
            </w:pPr>
            <w:r>
              <w:rPr>
                <w:b/>
              </w:rPr>
              <w:tab/>
              <w:t>12,678</w:t>
              <w:tab/>
            </w:r>
          </w:p>
        </w:tc>
        <w:tc>
          <w:tcPr>
            <w:tcW w:w="987" w:type="dxa"/>
            <w:tcBorders>
              <w:bottom w:val="double" w:sz="6" w:space="0" w:color="000000"/>
            </w:tcBorders>
            <w:shd w:fill="FFFFFF" w:val="clear"/>
            <w:vAlign w:val="center"/>
          </w:tcPr>
          <w:p>
            <w:pPr>
              <w:pStyle w:val="TableContents"/>
              <w:bidi w:val="0"/>
              <w:spacing w:before="0" w:after="283"/>
              <w:jc w:val="right"/>
              <w:rPr>
                <w:b/>
              </w:rPr>
            </w:pPr>
            <w:r>
              <w:rPr>
                <w:b/>
              </w:rPr>
              <w:tab/>
              <w:t>(59)</w:t>
            </w:r>
          </w:p>
        </w:tc>
        <w:tc>
          <w:tcPr>
            <w:tcW w:w="1624" w:type="dxa"/>
            <w:tcBorders>
              <w:bottom w:val="double" w:sz="6" w:space="0" w:color="000000"/>
            </w:tcBorders>
            <w:shd w:fill="FFFFFF" w:val="clear"/>
            <w:vAlign w:val="center"/>
          </w:tcPr>
          <w:p>
            <w:pPr>
              <w:pStyle w:val="TableContents"/>
              <w:bidi w:val="0"/>
              <w:spacing w:before="0" w:after="283"/>
              <w:jc w:val="right"/>
              <w:rPr>
                <w:b/>
              </w:rPr>
            </w:pPr>
            <w:r>
              <w:rPr>
                <w:b/>
              </w:rPr>
              <w:t>-</w:t>
            </w:r>
          </w:p>
        </w:tc>
        <w:tc>
          <w:tcPr>
            <w:tcW w:w="1010" w:type="dxa"/>
            <w:tcBorders>
              <w:bottom w:val="double" w:sz="6" w:space="0" w:color="000000"/>
            </w:tcBorders>
            <w:shd w:fill="FFFFFF" w:val="clear"/>
            <w:vAlign w:val="center"/>
          </w:tcPr>
          <w:p>
            <w:pPr>
              <w:pStyle w:val="TableContents"/>
              <w:bidi w:val="0"/>
              <w:spacing w:before="0" w:after="283"/>
              <w:jc w:val="right"/>
              <w:rPr>
                <w:b/>
              </w:rPr>
            </w:pPr>
            <w:r>
              <w:rPr>
                <w:b/>
              </w:rPr>
              <w:t>-</w:t>
            </w:r>
          </w:p>
        </w:tc>
        <w:tc>
          <w:tcPr>
            <w:tcW w:w="685" w:type="dxa"/>
            <w:tcBorders>
              <w:bottom w:val="double" w:sz="6" w:space="0" w:color="000000"/>
            </w:tcBorders>
            <w:shd w:fill="FFFFFF" w:val="clear"/>
            <w:vAlign w:val="center"/>
          </w:tcPr>
          <w:p>
            <w:pPr>
              <w:pStyle w:val="TableContents"/>
              <w:bidi w:val="0"/>
              <w:spacing w:before="0" w:after="283"/>
              <w:jc w:val="right"/>
              <w:rPr>
                <w:b/>
              </w:rPr>
            </w:pPr>
            <w:r>
              <w:rPr>
                <w:b/>
              </w:rPr>
              <w:tab/>
              <w:t>4,493</w:t>
              <w:tab/>
            </w:r>
          </w:p>
        </w:tc>
        <w:tc>
          <w:tcPr>
            <w:tcW w:w="1122" w:type="dxa"/>
            <w:tcBorders>
              <w:bottom w:val="double" w:sz="6" w:space="0" w:color="000000"/>
            </w:tcBorders>
            <w:shd w:fill="FFFFFF" w:val="clear"/>
            <w:vAlign w:val="center"/>
          </w:tcPr>
          <w:p>
            <w:pPr>
              <w:pStyle w:val="TableContents"/>
              <w:bidi w:val="0"/>
              <w:spacing w:before="0" w:after="283"/>
              <w:jc w:val="right"/>
              <w:rPr>
                <w:b/>
              </w:rPr>
            </w:pPr>
            <w:r>
              <w:rPr>
                <w:b/>
              </w:rPr>
              <w:tab/>
              <w:t>68,353</w:t>
              <w:tab/>
            </w:r>
          </w:p>
        </w:tc>
      </w:tr>
      <w:tr>
        <w:trPr/>
        <w:tc>
          <w:tcPr>
            <w:tcW w:w="2566" w:type="dxa"/>
            <w:tcBorders/>
            <w:shd w:fill="FFFFFF" w:val="clear"/>
            <w:tcMar>
              <w:bottom w:w="0" w:type="dxa"/>
            </w:tcMar>
            <w:vAlign w:val="center"/>
          </w:tcPr>
          <w:p>
            <w:pPr>
              <w:pStyle w:val="TableContents"/>
              <w:bidi w:val="0"/>
              <w:spacing w:before="0" w:after="283"/>
              <w:jc w:val="left"/>
              <w:rPr/>
            </w:pPr>
            <w:r>
              <w:rPr/>
              <w:t> </w:t>
            </w:r>
          </w:p>
        </w:tc>
        <w:tc>
          <w:tcPr>
            <w:tcW w:w="1201" w:type="dxa"/>
            <w:tcBorders/>
            <w:shd w:fill="FFFFFF" w:val="clear"/>
            <w:tcMar>
              <w:bottom w:w="0" w:type="dxa"/>
            </w:tcMar>
            <w:vAlign w:val="center"/>
          </w:tcPr>
          <w:p>
            <w:pPr>
              <w:pStyle w:val="TableContents"/>
              <w:bidi w:val="0"/>
              <w:spacing w:before="0" w:after="283"/>
              <w:jc w:val="center"/>
              <w:rPr/>
            </w:pPr>
            <w:r>
              <w:rPr/>
              <w:t> </w:t>
            </w:r>
          </w:p>
        </w:tc>
        <w:tc>
          <w:tcPr>
            <w:tcW w:w="1010" w:type="dxa"/>
            <w:tcBorders/>
            <w:shd w:fill="FFFFFF" w:val="clear"/>
            <w:tcMar>
              <w:bottom w:w="0" w:type="dxa"/>
            </w:tcMar>
            <w:vAlign w:val="center"/>
          </w:tcPr>
          <w:p>
            <w:pPr>
              <w:pStyle w:val="TableContents"/>
              <w:bidi w:val="0"/>
              <w:spacing w:before="0" w:after="283"/>
              <w:jc w:val="center"/>
              <w:rPr/>
            </w:pPr>
            <w:r>
              <w:rPr/>
              <w:t> </w:t>
            </w:r>
          </w:p>
        </w:tc>
        <w:tc>
          <w:tcPr>
            <w:tcW w:w="5428" w:type="dxa"/>
            <w:gridSpan w:val="5"/>
            <w:tcBorders>
              <w:bottom w:val="single" w:sz="8" w:space="0" w:color="000000"/>
            </w:tcBorders>
            <w:shd w:fill="FFFFFF" w:val="clear"/>
            <w:vAlign w:val="center"/>
          </w:tcPr>
          <w:p>
            <w:pPr>
              <w:pStyle w:val="TableContents"/>
              <w:bidi w:val="0"/>
              <w:spacing w:before="0" w:after="283"/>
              <w:jc w:val="left"/>
              <w:rPr/>
            </w:pPr>
            <w:r>
              <w:rPr/>
              <w:t> </w:t>
            </w:r>
          </w:p>
        </w:tc>
      </w:tr>
      <w:tr>
        <w:trPr/>
        <w:tc>
          <w:tcPr>
            <w:tcW w:w="2566" w:type="dxa"/>
            <w:tcBorders>
              <w:top w:val="single" w:sz="8" w:space="0" w:color="000000"/>
              <w:bottom w:val="single" w:sz="8" w:space="0" w:color="000000"/>
            </w:tcBorders>
            <w:shd w:fill="FFFFFF" w:val="clear"/>
            <w:tcMar>
              <w:top w:w="28" w:type="dxa"/>
            </w:tcMar>
            <w:vAlign w:val="center"/>
          </w:tcPr>
          <w:p>
            <w:pPr>
              <w:pStyle w:val="TableContents"/>
              <w:bidi w:val="0"/>
              <w:spacing w:before="0" w:after="283"/>
              <w:jc w:val="left"/>
              <w:rPr>
                <w:b/>
                <w:i/>
                <w:sz w:val="20"/>
              </w:rPr>
            </w:pPr>
            <w:r>
              <w:rPr>
                <w:b/>
                <w:i/>
                <w:sz w:val="20"/>
              </w:rPr>
              <w:t>Changes in accumulated depreciation</w:t>
            </w:r>
          </w:p>
        </w:tc>
        <w:tc>
          <w:tcPr>
            <w:tcW w:w="1201" w:type="dxa"/>
            <w:tcBorders>
              <w:top w:val="single" w:sz="8" w:space="0" w:color="000000"/>
              <w:bottom w:val="single" w:sz="8" w:space="0" w:color="000000"/>
            </w:tcBorders>
            <w:shd w:fill="FFFFFF" w:val="clear"/>
            <w:tcMar>
              <w:top w:w="28" w:type="dxa"/>
            </w:tcMar>
            <w:vAlign w:val="center"/>
          </w:tcPr>
          <w:p>
            <w:pPr>
              <w:pStyle w:val="TableContents"/>
              <w:bidi w:val="0"/>
              <w:spacing w:before="0" w:after="283"/>
              <w:jc w:val="center"/>
              <w:rPr>
                <w:b/>
              </w:rPr>
            </w:pPr>
            <w:r>
              <w:rPr>
                <w:b/>
              </w:rPr>
              <w:t>Opening balance</w:t>
            </w:r>
          </w:p>
        </w:tc>
        <w:tc>
          <w:tcPr>
            <w:tcW w:w="1010" w:type="dxa"/>
            <w:tcBorders>
              <w:top w:val="single" w:sz="8" w:space="0" w:color="000000"/>
              <w:bottom w:val="single" w:sz="8" w:space="0" w:color="000000"/>
            </w:tcBorders>
            <w:shd w:fill="FFFFFF" w:val="clear"/>
            <w:tcMar>
              <w:top w:w="28" w:type="dxa"/>
            </w:tcMar>
            <w:vAlign w:val="center"/>
          </w:tcPr>
          <w:p>
            <w:pPr>
              <w:pStyle w:val="TableContents"/>
              <w:bidi w:val="0"/>
              <w:spacing w:before="0" w:after="283"/>
              <w:jc w:val="center"/>
              <w:rPr>
                <w:b/>
              </w:rPr>
            </w:pPr>
            <w:r>
              <w:rPr>
                <w:b/>
              </w:rPr>
              <w:t>Additions</w:t>
            </w:r>
          </w:p>
        </w:tc>
        <w:tc>
          <w:tcPr>
            <w:tcW w:w="987" w:type="dxa"/>
            <w:tcBorders>
              <w:bottom w:val="single" w:sz="8" w:space="0" w:color="000000"/>
            </w:tcBorders>
            <w:shd w:fill="FFFFFF" w:val="clear"/>
            <w:vAlign w:val="center"/>
          </w:tcPr>
          <w:p>
            <w:pPr>
              <w:pStyle w:val="TableContents"/>
              <w:bidi w:val="0"/>
              <w:spacing w:before="0" w:after="283"/>
              <w:jc w:val="center"/>
              <w:rPr>
                <w:b/>
              </w:rPr>
            </w:pPr>
            <w:r>
              <w:rPr>
                <w:b/>
              </w:rPr>
              <w:t xml:space="preserve">Disposals </w:t>
            </w:r>
          </w:p>
        </w:tc>
        <w:tc>
          <w:tcPr>
            <w:tcW w:w="1624" w:type="dxa"/>
            <w:tcBorders>
              <w:bottom w:val="single" w:sz="8" w:space="0" w:color="000000"/>
            </w:tcBorders>
            <w:shd w:fill="FFFFFF" w:val="clear"/>
            <w:vAlign w:val="center"/>
          </w:tcPr>
          <w:p>
            <w:pPr>
              <w:pStyle w:val="TableContents"/>
              <w:bidi w:val="0"/>
              <w:spacing w:before="0" w:after="283"/>
              <w:jc w:val="center"/>
              <w:rPr>
                <w:b/>
              </w:rPr>
            </w:pPr>
            <w:r>
              <w:rPr>
                <w:b/>
              </w:rPr>
              <w:t>Business combination</w:t>
            </w:r>
          </w:p>
        </w:tc>
        <w:tc>
          <w:tcPr>
            <w:tcW w:w="1010" w:type="dxa"/>
            <w:tcBorders>
              <w:bottom w:val="single" w:sz="8" w:space="0" w:color="000000"/>
            </w:tcBorders>
            <w:shd w:fill="FFFFFF" w:val="clear"/>
            <w:vAlign w:val="center"/>
          </w:tcPr>
          <w:p>
            <w:pPr>
              <w:pStyle w:val="TableContents"/>
              <w:bidi w:val="0"/>
              <w:spacing w:before="0" w:after="283"/>
              <w:jc w:val="center"/>
              <w:rPr>
                <w:b/>
              </w:rPr>
            </w:pPr>
            <w:r>
              <w:rPr>
                <w:b/>
              </w:rPr>
              <w:t>Transfers</w:t>
            </w:r>
          </w:p>
        </w:tc>
        <w:tc>
          <w:tcPr>
            <w:tcW w:w="685" w:type="dxa"/>
            <w:tcBorders>
              <w:bottom w:val="single" w:sz="8" w:space="0" w:color="000000"/>
            </w:tcBorders>
            <w:shd w:fill="FFFFFF" w:val="clear"/>
            <w:vAlign w:val="center"/>
          </w:tcPr>
          <w:p>
            <w:pPr>
              <w:pStyle w:val="TableContents"/>
              <w:bidi w:val="0"/>
              <w:spacing w:before="0" w:after="283"/>
              <w:jc w:val="center"/>
              <w:rPr>
                <w:b/>
              </w:rPr>
            </w:pPr>
            <w:r>
              <w:rPr>
                <w:b/>
              </w:rPr>
              <w:t>CTA</w:t>
            </w:r>
            <w:r>
              <w:rPr>
                <w:b/>
                <w:position w:val="8"/>
                <w:sz w:val="19"/>
              </w:rPr>
              <w:t>(*)</w:t>
            </w:r>
          </w:p>
        </w:tc>
        <w:tc>
          <w:tcPr>
            <w:tcW w:w="1122" w:type="dxa"/>
            <w:tcBorders>
              <w:bottom w:val="single" w:sz="8" w:space="0" w:color="000000"/>
            </w:tcBorders>
            <w:shd w:fill="FFFFFF" w:val="clear"/>
            <w:vAlign w:val="center"/>
          </w:tcPr>
          <w:p>
            <w:pPr>
              <w:pStyle w:val="TableContents"/>
              <w:bidi w:val="0"/>
              <w:spacing w:before="0" w:after="283"/>
              <w:jc w:val="center"/>
              <w:rPr>
                <w:b/>
              </w:rPr>
            </w:pPr>
            <w:r>
              <w:rPr>
                <w:b/>
              </w:rPr>
              <w:t>Closing balance</w:t>
            </w:r>
          </w:p>
        </w:tc>
      </w:tr>
      <w:tr>
        <w:trPr/>
        <w:tc>
          <w:tcPr>
            <w:tcW w:w="2566" w:type="dxa"/>
            <w:tcBorders/>
            <w:shd w:fill="FFFFFF" w:val="clear"/>
            <w:tcMar>
              <w:bottom w:w="0" w:type="dxa"/>
            </w:tcMar>
            <w:vAlign w:val="center"/>
          </w:tcPr>
          <w:p>
            <w:pPr>
              <w:pStyle w:val="TableContents"/>
              <w:bidi w:val="0"/>
              <w:spacing w:before="0" w:after="283"/>
              <w:jc w:val="left"/>
              <w:rPr/>
            </w:pPr>
            <w:r>
              <w:rPr/>
              <w:t> </w:t>
            </w:r>
          </w:p>
        </w:tc>
        <w:tc>
          <w:tcPr>
            <w:tcW w:w="1201" w:type="dxa"/>
            <w:tcBorders/>
            <w:shd w:fill="FFFFFF" w:val="clear"/>
            <w:tcMar>
              <w:bottom w:w="0" w:type="dxa"/>
            </w:tcMar>
            <w:vAlign w:val="center"/>
          </w:tcPr>
          <w:p>
            <w:pPr>
              <w:pStyle w:val="TableContents"/>
              <w:bidi w:val="0"/>
              <w:spacing w:before="0" w:after="283"/>
              <w:jc w:val="righ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87" w:type="dxa"/>
            <w:tcBorders/>
            <w:shd w:fill="FFFFFF" w:val="clear"/>
            <w:tcMar>
              <w:bottom w:w="0" w:type="dxa"/>
            </w:tcMar>
            <w:vAlign w:val="center"/>
          </w:tcPr>
          <w:p>
            <w:pPr>
              <w:pStyle w:val="TableContents"/>
              <w:bidi w:val="0"/>
              <w:spacing w:before="0" w:after="283"/>
              <w:jc w:val="right"/>
              <w:rPr/>
            </w:pPr>
            <w:r>
              <w:rPr/>
              <w:t> </w:t>
            </w:r>
          </w:p>
        </w:tc>
        <w:tc>
          <w:tcPr>
            <w:tcW w:w="1624" w:type="dxa"/>
            <w:tcBorders/>
            <w:shd w:fill="FFFFFF" w:val="clear"/>
            <w:tcMar>
              <w:bottom w:w="0" w:type="dxa"/>
            </w:tcMar>
            <w:vAlign w:val="center"/>
          </w:tcPr>
          <w:p>
            <w:pPr>
              <w:pStyle w:val="TableContents"/>
              <w:bidi w:val="0"/>
              <w:spacing w:before="0" w:after="283"/>
              <w:jc w:val="righ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685" w:type="dxa"/>
            <w:tcBorders/>
            <w:shd w:fill="FFFFFF" w:val="clear"/>
            <w:tcMar>
              <w:bottom w:w="0" w:type="dxa"/>
            </w:tcMar>
            <w:vAlign w:val="center"/>
          </w:tcPr>
          <w:p>
            <w:pPr>
              <w:pStyle w:val="TableContents"/>
              <w:bidi w:val="0"/>
              <w:spacing w:before="0" w:after="283"/>
              <w:jc w:val="right"/>
              <w:rPr/>
            </w:pPr>
            <w:r>
              <w:rPr/>
              <w:t> </w:t>
            </w:r>
          </w:p>
        </w:tc>
        <w:tc>
          <w:tcPr>
            <w:tcW w:w="1122" w:type="dxa"/>
            <w:tcBorders/>
            <w:shd w:fill="FFFFFF" w:val="clear"/>
            <w:tcMar>
              <w:bottom w:w="0" w:type="dxa"/>
            </w:tcMar>
            <w:vAlign w:val="center"/>
          </w:tcPr>
          <w:p>
            <w:pPr>
              <w:pStyle w:val="TableContents"/>
              <w:bidi w:val="0"/>
              <w:spacing w:before="0" w:after="283"/>
              <w:jc w:val="right"/>
              <w:rPr/>
            </w:pPr>
            <w:r>
              <w:rPr/>
              <w:t> </w:t>
            </w:r>
          </w:p>
        </w:tc>
      </w:tr>
      <w:tr>
        <w:trPr/>
        <w:tc>
          <w:tcPr>
            <w:tcW w:w="2566" w:type="dxa"/>
            <w:tcBorders/>
            <w:shd w:fill="D5EAEA" w:val="clear"/>
            <w:tcMar>
              <w:bottom w:w="0" w:type="dxa"/>
            </w:tcMar>
            <w:vAlign w:val="center"/>
          </w:tcPr>
          <w:p>
            <w:pPr>
              <w:pStyle w:val="TableContents"/>
              <w:bidi w:val="0"/>
              <w:spacing w:before="0" w:after="283"/>
              <w:jc w:val="left"/>
              <w:rPr/>
            </w:pPr>
            <w:r>
              <w:rPr/>
              <w:t>(-) Furniture and fixtures</w:t>
            </w:r>
          </w:p>
        </w:tc>
        <w:tc>
          <w:tcPr>
            <w:tcW w:w="1201" w:type="dxa"/>
            <w:tcBorders/>
            <w:shd w:fill="D5EAEA" w:val="clear"/>
            <w:tcMar>
              <w:bottom w:w="0" w:type="dxa"/>
            </w:tcMar>
            <w:vAlign w:val="center"/>
          </w:tcPr>
          <w:p>
            <w:pPr>
              <w:pStyle w:val="TableContents"/>
              <w:bidi w:val="0"/>
              <w:spacing w:before="0" w:after="283"/>
              <w:jc w:val="right"/>
              <w:rPr/>
            </w:pPr>
            <w:r>
              <w:rPr/>
              <w:tab/>
              <w:t>(1,249)</w:t>
            </w:r>
          </w:p>
        </w:tc>
        <w:tc>
          <w:tcPr>
            <w:tcW w:w="1010" w:type="dxa"/>
            <w:tcBorders/>
            <w:shd w:fill="D5EAEA" w:val="clear"/>
            <w:tcMar>
              <w:bottom w:w="0" w:type="dxa"/>
            </w:tcMar>
            <w:vAlign w:val="center"/>
          </w:tcPr>
          <w:p>
            <w:pPr>
              <w:pStyle w:val="TableContents"/>
              <w:bidi w:val="0"/>
              <w:spacing w:before="0" w:after="283"/>
              <w:jc w:val="right"/>
              <w:rPr/>
            </w:pPr>
            <w:r>
              <w:rPr/>
              <w:tab/>
              <w:t>(165)</w:t>
            </w:r>
          </w:p>
        </w:tc>
        <w:tc>
          <w:tcPr>
            <w:tcW w:w="987" w:type="dxa"/>
            <w:tcBorders/>
            <w:shd w:fill="D5EAEA" w:val="clear"/>
            <w:tcMar>
              <w:bottom w:w="0" w:type="dxa"/>
            </w:tcMar>
            <w:vAlign w:val="center"/>
          </w:tcPr>
          <w:p>
            <w:pPr>
              <w:pStyle w:val="TableContents"/>
              <w:bidi w:val="0"/>
              <w:spacing w:before="0" w:after="283"/>
              <w:jc w:val="right"/>
              <w:rPr/>
            </w:pPr>
            <w:r>
              <w:rPr/>
              <w:tab/>
              <w:t>—</w:t>
              <w:tab/>
            </w:r>
          </w:p>
        </w:tc>
        <w:tc>
          <w:tcPr>
            <w:tcW w:w="1624" w:type="dxa"/>
            <w:tcBorders/>
            <w:shd w:fill="D5EAEA" w:val="clear"/>
            <w:tcMar>
              <w:bottom w:w="0" w:type="dxa"/>
            </w:tcMar>
            <w:vAlign w:val="center"/>
          </w:tcPr>
          <w:p>
            <w:pPr>
              <w:pStyle w:val="TableContents"/>
              <w:bidi w:val="0"/>
              <w:spacing w:before="0" w:after="283"/>
              <w:jc w:val="right"/>
              <w:rPr/>
            </w:pPr>
            <w:r>
              <w:rPr/>
              <w:t>-</w:t>
            </w:r>
          </w:p>
        </w:tc>
        <w:tc>
          <w:tcPr>
            <w:tcW w:w="1010" w:type="dxa"/>
            <w:tcBorders/>
            <w:shd w:fill="D5EAEA" w:val="clear"/>
            <w:tcMar>
              <w:bottom w:w="0" w:type="dxa"/>
            </w:tcMar>
            <w:vAlign w:val="center"/>
          </w:tcPr>
          <w:p>
            <w:pPr>
              <w:pStyle w:val="TableContents"/>
              <w:bidi w:val="0"/>
              <w:spacing w:before="0" w:after="283"/>
              <w:jc w:val="right"/>
              <w:rPr/>
            </w:pPr>
            <w:r>
              <w:rPr/>
              <w:t>-</w:t>
            </w:r>
          </w:p>
        </w:tc>
        <w:tc>
          <w:tcPr>
            <w:tcW w:w="685" w:type="dxa"/>
            <w:tcBorders/>
            <w:shd w:fill="D5EAEA" w:val="clear"/>
            <w:tcMar>
              <w:bottom w:w="0" w:type="dxa"/>
            </w:tcMar>
            <w:vAlign w:val="center"/>
          </w:tcPr>
          <w:p>
            <w:pPr>
              <w:pStyle w:val="TableContents"/>
              <w:bidi w:val="0"/>
              <w:spacing w:before="0" w:after="283"/>
              <w:jc w:val="right"/>
              <w:rPr/>
            </w:pPr>
            <w:r>
              <w:rPr/>
              <w:tab/>
              <w:t>(131)</w:t>
            </w:r>
          </w:p>
        </w:tc>
        <w:tc>
          <w:tcPr>
            <w:tcW w:w="1122" w:type="dxa"/>
            <w:tcBorders/>
            <w:shd w:fill="D5EAEA" w:val="clear"/>
            <w:tcMar>
              <w:bottom w:w="0" w:type="dxa"/>
            </w:tcMar>
            <w:vAlign w:val="center"/>
          </w:tcPr>
          <w:p>
            <w:pPr>
              <w:pStyle w:val="TableContents"/>
              <w:bidi w:val="0"/>
              <w:spacing w:before="0" w:after="283"/>
              <w:jc w:val="right"/>
              <w:rPr/>
            </w:pPr>
            <w:r>
              <w:rPr/>
              <w:tab/>
              <w:t>(1,545)</w:t>
            </w:r>
          </w:p>
        </w:tc>
      </w:tr>
      <w:tr>
        <w:trPr/>
        <w:tc>
          <w:tcPr>
            <w:tcW w:w="2566" w:type="dxa"/>
            <w:tcBorders/>
            <w:shd w:fill="FFFFFF" w:val="clear"/>
            <w:tcMar>
              <w:bottom w:w="0" w:type="dxa"/>
            </w:tcMar>
            <w:vAlign w:val="center"/>
          </w:tcPr>
          <w:p>
            <w:pPr>
              <w:pStyle w:val="TableContents"/>
              <w:bidi w:val="0"/>
              <w:spacing w:before="0" w:after="283"/>
              <w:jc w:val="left"/>
              <w:rPr/>
            </w:pPr>
            <w:r>
              <w:rPr/>
              <w:t>(-) Building improvements</w:t>
            </w:r>
          </w:p>
        </w:tc>
        <w:tc>
          <w:tcPr>
            <w:tcW w:w="1201" w:type="dxa"/>
            <w:tcBorders/>
            <w:shd w:fill="FFFFFF" w:val="clear"/>
            <w:tcMar>
              <w:bottom w:w="0" w:type="dxa"/>
            </w:tcMar>
            <w:vAlign w:val="center"/>
          </w:tcPr>
          <w:p>
            <w:pPr>
              <w:pStyle w:val="TableContents"/>
              <w:bidi w:val="0"/>
              <w:spacing w:before="0" w:after="283"/>
              <w:jc w:val="right"/>
              <w:rPr/>
            </w:pPr>
            <w:r>
              <w:rPr/>
              <w:tab/>
              <w:t>(5,105)</w:t>
            </w:r>
          </w:p>
        </w:tc>
        <w:tc>
          <w:tcPr>
            <w:tcW w:w="1010" w:type="dxa"/>
            <w:tcBorders/>
            <w:shd w:fill="FFFFFF" w:val="clear"/>
            <w:tcMar>
              <w:bottom w:w="0" w:type="dxa"/>
            </w:tcMar>
            <w:vAlign w:val="center"/>
          </w:tcPr>
          <w:p>
            <w:pPr>
              <w:pStyle w:val="TableContents"/>
              <w:bidi w:val="0"/>
              <w:spacing w:before="0" w:after="283"/>
              <w:jc w:val="right"/>
              <w:rPr/>
            </w:pPr>
            <w:r>
              <w:rPr/>
              <w:tab/>
              <w:t>(1,329)</w:t>
            </w:r>
          </w:p>
        </w:tc>
        <w:tc>
          <w:tcPr>
            <w:tcW w:w="987" w:type="dxa"/>
            <w:tcBorders/>
            <w:shd w:fill="FFFFFF" w:val="clear"/>
            <w:tcMar>
              <w:bottom w:w="0" w:type="dxa"/>
            </w:tcMar>
            <w:vAlign w:val="center"/>
          </w:tcPr>
          <w:p>
            <w:pPr>
              <w:pStyle w:val="TableContents"/>
              <w:bidi w:val="0"/>
              <w:spacing w:before="0" w:after="283"/>
              <w:jc w:val="right"/>
              <w:rPr/>
            </w:pPr>
            <w:r>
              <w:rPr/>
              <w:tab/>
              <w:t>51</w:t>
              <w:tab/>
            </w:r>
          </w:p>
        </w:tc>
        <w:tc>
          <w:tcPr>
            <w:tcW w:w="1624" w:type="dxa"/>
            <w:tcBorders/>
            <w:shd w:fill="FFFFFF" w:val="clear"/>
            <w:tcMar>
              <w:bottom w:w="0" w:type="dxa"/>
            </w:tcMar>
            <w:vAlign w:val="center"/>
          </w:tcPr>
          <w:p>
            <w:pPr>
              <w:pStyle w:val="TableContents"/>
              <w:bidi w:val="0"/>
              <w:spacing w:before="0" w:after="283"/>
              <w:jc w:val="right"/>
              <w:rPr/>
            </w:pPr>
            <w:r>
              <w:rPr/>
              <w:t>-</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685" w:type="dxa"/>
            <w:tcBorders/>
            <w:shd w:fill="FFFFFF" w:val="clear"/>
            <w:tcMar>
              <w:bottom w:w="0" w:type="dxa"/>
            </w:tcMar>
            <w:vAlign w:val="center"/>
          </w:tcPr>
          <w:p>
            <w:pPr>
              <w:pStyle w:val="TableContents"/>
              <w:bidi w:val="0"/>
              <w:spacing w:before="0" w:after="283"/>
              <w:jc w:val="right"/>
              <w:rPr/>
            </w:pPr>
            <w:r>
              <w:rPr/>
              <w:tab/>
              <w:t>(470)</w:t>
            </w:r>
          </w:p>
        </w:tc>
        <w:tc>
          <w:tcPr>
            <w:tcW w:w="1122" w:type="dxa"/>
            <w:tcBorders/>
            <w:shd w:fill="FFFFFF" w:val="clear"/>
            <w:tcMar>
              <w:bottom w:w="0" w:type="dxa"/>
            </w:tcMar>
            <w:vAlign w:val="center"/>
          </w:tcPr>
          <w:p>
            <w:pPr>
              <w:pStyle w:val="TableContents"/>
              <w:bidi w:val="0"/>
              <w:spacing w:before="0" w:after="283"/>
              <w:jc w:val="right"/>
              <w:rPr/>
            </w:pPr>
            <w:r>
              <w:rPr/>
              <w:tab/>
              <w:t>(6,853)</w:t>
            </w:r>
          </w:p>
        </w:tc>
      </w:tr>
      <w:tr>
        <w:trPr/>
        <w:tc>
          <w:tcPr>
            <w:tcW w:w="2566" w:type="dxa"/>
            <w:tcBorders/>
            <w:shd w:fill="D5EAEA" w:val="clear"/>
            <w:tcMar>
              <w:bottom w:w="0" w:type="dxa"/>
            </w:tcMar>
            <w:vAlign w:val="center"/>
          </w:tcPr>
          <w:p>
            <w:pPr>
              <w:pStyle w:val="TableContents"/>
              <w:bidi w:val="0"/>
              <w:spacing w:before="0" w:after="283"/>
              <w:jc w:val="left"/>
              <w:rPr/>
            </w:pPr>
            <w:r>
              <w:rPr/>
              <w:t>(-) Office equipment</w:t>
            </w:r>
          </w:p>
        </w:tc>
        <w:tc>
          <w:tcPr>
            <w:tcW w:w="1201" w:type="dxa"/>
            <w:tcBorders/>
            <w:shd w:fill="D5EAEA" w:val="clear"/>
            <w:tcMar>
              <w:bottom w:w="0" w:type="dxa"/>
            </w:tcMar>
            <w:vAlign w:val="center"/>
          </w:tcPr>
          <w:p>
            <w:pPr>
              <w:pStyle w:val="TableContents"/>
              <w:bidi w:val="0"/>
              <w:spacing w:before="0" w:after="283"/>
              <w:jc w:val="right"/>
              <w:rPr/>
            </w:pPr>
            <w:r>
              <w:rPr/>
              <w:tab/>
              <w:t>(4,061)</w:t>
            </w:r>
          </w:p>
        </w:tc>
        <w:tc>
          <w:tcPr>
            <w:tcW w:w="1010" w:type="dxa"/>
            <w:tcBorders/>
            <w:shd w:fill="D5EAEA" w:val="clear"/>
            <w:tcMar>
              <w:bottom w:w="0" w:type="dxa"/>
            </w:tcMar>
            <w:vAlign w:val="center"/>
          </w:tcPr>
          <w:p>
            <w:pPr>
              <w:pStyle w:val="TableContents"/>
              <w:bidi w:val="0"/>
              <w:spacing w:before="0" w:after="283"/>
              <w:jc w:val="right"/>
              <w:rPr/>
            </w:pPr>
            <w:r>
              <w:rPr/>
              <w:tab/>
              <w:t>(849)</w:t>
            </w:r>
          </w:p>
        </w:tc>
        <w:tc>
          <w:tcPr>
            <w:tcW w:w="987" w:type="dxa"/>
            <w:tcBorders/>
            <w:shd w:fill="D5EAEA" w:val="clear"/>
            <w:tcMar>
              <w:bottom w:w="0" w:type="dxa"/>
            </w:tcMar>
            <w:vAlign w:val="center"/>
          </w:tcPr>
          <w:p>
            <w:pPr>
              <w:pStyle w:val="TableContents"/>
              <w:bidi w:val="0"/>
              <w:spacing w:before="0" w:after="283"/>
              <w:jc w:val="right"/>
              <w:rPr/>
            </w:pPr>
            <w:r>
              <w:rPr/>
              <w:tab/>
              <w:t>58</w:t>
              <w:tab/>
            </w:r>
          </w:p>
        </w:tc>
        <w:tc>
          <w:tcPr>
            <w:tcW w:w="1624" w:type="dxa"/>
            <w:tcBorders/>
            <w:shd w:fill="D5EAEA" w:val="clear"/>
            <w:tcMar>
              <w:bottom w:w="0" w:type="dxa"/>
            </w:tcMar>
            <w:vAlign w:val="center"/>
          </w:tcPr>
          <w:p>
            <w:pPr>
              <w:pStyle w:val="TableContents"/>
              <w:bidi w:val="0"/>
              <w:spacing w:before="0" w:after="283"/>
              <w:jc w:val="right"/>
              <w:rPr/>
            </w:pPr>
            <w:r>
              <w:rPr/>
              <w:t>-</w:t>
            </w:r>
          </w:p>
        </w:tc>
        <w:tc>
          <w:tcPr>
            <w:tcW w:w="1010" w:type="dxa"/>
            <w:tcBorders/>
            <w:shd w:fill="D5EAEA" w:val="clear"/>
            <w:tcMar>
              <w:bottom w:w="0" w:type="dxa"/>
            </w:tcMar>
            <w:vAlign w:val="center"/>
          </w:tcPr>
          <w:p>
            <w:pPr>
              <w:pStyle w:val="TableContents"/>
              <w:bidi w:val="0"/>
              <w:spacing w:before="0" w:after="283"/>
              <w:jc w:val="right"/>
              <w:rPr/>
            </w:pPr>
            <w:r>
              <w:rPr/>
              <w:t>-</w:t>
            </w:r>
          </w:p>
        </w:tc>
        <w:tc>
          <w:tcPr>
            <w:tcW w:w="685" w:type="dxa"/>
            <w:tcBorders/>
            <w:shd w:fill="D5EAEA" w:val="clear"/>
            <w:tcMar>
              <w:bottom w:w="0" w:type="dxa"/>
            </w:tcMar>
            <w:vAlign w:val="center"/>
          </w:tcPr>
          <w:p>
            <w:pPr>
              <w:pStyle w:val="TableContents"/>
              <w:bidi w:val="0"/>
              <w:spacing w:before="0" w:after="283"/>
              <w:jc w:val="right"/>
              <w:rPr/>
            </w:pPr>
            <w:r>
              <w:rPr/>
              <w:tab/>
              <w:t>(433)</w:t>
            </w:r>
          </w:p>
        </w:tc>
        <w:tc>
          <w:tcPr>
            <w:tcW w:w="1122" w:type="dxa"/>
            <w:tcBorders/>
            <w:shd w:fill="D5EAEA" w:val="clear"/>
            <w:tcMar>
              <w:bottom w:w="0" w:type="dxa"/>
            </w:tcMar>
            <w:vAlign w:val="center"/>
          </w:tcPr>
          <w:p>
            <w:pPr>
              <w:pStyle w:val="TableContents"/>
              <w:bidi w:val="0"/>
              <w:spacing w:before="0" w:after="283"/>
              <w:jc w:val="right"/>
              <w:rPr/>
            </w:pPr>
            <w:r>
              <w:rPr/>
              <w:tab/>
              <w:t>(5,285)</w:t>
            </w:r>
          </w:p>
        </w:tc>
      </w:tr>
      <w:tr>
        <w:trPr/>
        <w:tc>
          <w:tcPr>
            <w:tcW w:w="2566" w:type="dxa"/>
            <w:tcBorders/>
            <w:shd w:fill="FFFFFF" w:val="clear"/>
            <w:tcMar>
              <w:bottom w:w="0" w:type="dxa"/>
            </w:tcMar>
            <w:vAlign w:val="center"/>
          </w:tcPr>
          <w:p>
            <w:pPr>
              <w:pStyle w:val="TableContents"/>
              <w:bidi w:val="0"/>
              <w:spacing w:before="0" w:after="283"/>
              <w:jc w:val="left"/>
              <w:rPr/>
            </w:pPr>
            <w:r>
              <w:rPr/>
              <w:t>(-) Right-of-use assets (a)</w:t>
            </w:r>
          </w:p>
        </w:tc>
        <w:tc>
          <w:tcPr>
            <w:tcW w:w="1201" w:type="dxa"/>
            <w:tcBorders>
              <w:bottom w:val="single" w:sz="8" w:space="0" w:color="000000"/>
            </w:tcBorders>
            <w:shd w:fill="FFFFFF" w:val="clear"/>
            <w:vAlign w:val="center"/>
          </w:tcPr>
          <w:p>
            <w:pPr>
              <w:pStyle w:val="TableContents"/>
              <w:bidi w:val="0"/>
              <w:spacing w:before="0" w:after="283"/>
              <w:jc w:val="right"/>
              <w:rPr/>
            </w:pPr>
            <w:r>
              <w:rPr/>
              <w:tab/>
              <w:t>(8,204)</w:t>
            </w:r>
          </w:p>
        </w:tc>
        <w:tc>
          <w:tcPr>
            <w:tcW w:w="1010" w:type="dxa"/>
            <w:tcBorders>
              <w:bottom w:val="single" w:sz="8" w:space="0" w:color="000000"/>
            </w:tcBorders>
            <w:shd w:fill="FFFFFF" w:val="clear"/>
            <w:vAlign w:val="center"/>
          </w:tcPr>
          <w:p>
            <w:pPr>
              <w:pStyle w:val="TableContents"/>
              <w:bidi w:val="0"/>
              <w:spacing w:before="0" w:after="283"/>
              <w:jc w:val="right"/>
              <w:rPr/>
            </w:pPr>
            <w:r>
              <w:rPr/>
              <w:tab/>
              <w:t>(4,297)</w:t>
            </w:r>
          </w:p>
        </w:tc>
        <w:tc>
          <w:tcPr>
            <w:tcW w:w="987" w:type="dxa"/>
            <w:tcBorders>
              <w:bottom w:val="single" w:sz="8" w:space="0" w:color="000000"/>
            </w:tcBorders>
            <w:shd w:fill="FFFFFF" w:val="clear"/>
            <w:vAlign w:val="center"/>
          </w:tcPr>
          <w:p>
            <w:pPr>
              <w:pStyle w:val="TableContents"/>
              <w:bidi w:val="0"/>
              <w:spacing w:before="0" w:after="283"/>
              <w:jc w:val="right"/>
              <w:rPr/>
            </w:pPr>
            <w:r>
              <w:rPr/>
              <w:tab/>
              <w:t>975</w:t>
              <w:tab/>
            </w:r>
          </w:p>
        </w:tc>
        <w:tc>
          <w:tcPr>
            <w:tcW w:w="1624" w:type="dxa"/>
            <w:tcBorders>
              <w:bottom w:val="single" w:sz="8" w:space="0" w:color="000000"/>
            </w:tcBorders>
            <w:shd w:fill="FFFFFF" w:val="clear"/>
            <w:vAlign w:val="center"/>
          </w:tcPr>
          <w:p>
            <w:pPr>
              <w:pStyle w:val="TableContents"/>
              <w:bidi w:val="0"/>
              <w:spacing w:before="0" w:after="283"/>
              <w:jc w:val="right"/>
              <w:rPr/>
            </w:pPr>
            <w:r>
              <w:rPr/>
              <w:t>-</w:t>
            </w:r>
          </w:p>
        </w:tc>
        <w:tc>
          <w:tcPr>
            <w:tcW w:w="1010" w:type="dxa"/>
            <w:tcBorders>
              <w:bottom w:val="single" w:sz="8" w:space="0" w:color="000000"/>
            </w:tcBorders>
            <w:shd w:fill="FFFFFF" w:val="clear"/>
            <w:vAlign w:val="center"/>
          </w:tcPr>
          <w:p>
            <w:pPr>
              <w:pStyle w:val="TableContents"/>
              <w:bidi w:val="0"/>
              <w:spacing w:before="0" w:after="283"/>
              <w:jc w:val="right"/>
              <w:rPr/>
            </w:pPr>
            <w:r>
              <w:rPr/>
              <w:t>-</w:t>
            </w:r>
          </w:p>
        </w:tc>
        <w:tc>
          <w:tcPr>
            <w:tcW w:w="685" w:type="dxa"/>
            <w:tcBorders>
              <w:bottom w:val="single" w:sz="8" w:space="0" w:color="000000"/>
            </w:tcBorders>
            <w:shd w:fill="FFFFFF" w:val="clear"/>
            <w:vAlign w:val="center"/>
          </w:tcPr>
          <w:p>
            <w:pPr>
              <w:pStyle w:val="TableContents"/>
              <w:bidi w:val="0"/>
              <w:spacing w:before="0" w:after="283"/>
              <w:jc w:val="right"/>
              <w:rPr/>
            </w:pPr>
            <w:r>
              <w:rPr/>
              <w:tab/>
              <w:t>(777)</w:t>
            </w:r>
          </w:p>
        </w:tc>
        <w:tc>
          <w:tcPr>
            <w:tcW w:w="1122" w:type="dxa"/>
            <w:tcBorders>
              <w:bottom w:val="single" w:sz="8" w:space="0" w:color="000000"/>
            </w:tcBorders>
            <w:shd w:fill="FFFFFF" w:val="clear"/>
            <w:vAlign w:val="center"/>
          </w:tcPr>
          <w:p>
            <w:pPr>
              <w:pStyle w:val="TableContents"/>
              <w:bidi w:val="0"/>
              <w:spacing w:before="0" w:after="283"/>
              <w:jc w:val="right"/>
              <w:rPr/>
            </w:pPr>
            <w:r>
              <w:rPr/>
              <w:tab/>
              <w:t>(12,303)</w:t>
            </w:r>
          </w:p>
        </w:tc>
      </w:tr>
      <w:tr>
        <w:trPr/>
        <w:tc>
          <w:tcPr>
            <w:tcW w:w="2566" w:type="dxa"/>
            <w:tcBorders/>
            <w:shd w:fill="D5EAEA" w:val="clear"/>
            <w:tcMar>
              <w:bottom w:w="0" w:type="dxa"/>
            </w:tcMar>
            <w:vAlign w:val="center"/>
          </w:tcPr>
          <w:p>
            <w:pPr>
              <w:pStyle w:val="TableContents"/>
              <w:bidi w:val="0"/>
              <w:spacing w:before="0" w:after="283"/>
              <w:jc w:val="left"/>
              <w:rPr>
                <w:b/>
              </w:rPr>
            </w:pPr>
            <w:r>
              <w:rPr>
                <w:b/>
              </w:rPr>
              <w:t>Total - Accumulated depreciation</w:t>
            </w:r>
          </w:p>
        </w:tc>
        <w:tc>
          <w:tcPr>
            <w:tcW w:w="1201" w:type="dxa"/>
            <w:tcBorders>
              <w:bottom w:val="single" w:sz="8" w:space="0" w:color="000000"/>
            </w:tcBorders>
            <w:shd w:fill="D5EAEA" w:val="clear"/>
            <w:vAlign w:val="center"/>
          </w:tcPr>
          <w:p>
            <w:pPr>
              <w:pStyle w:val="TableContents"/>
              <w:bidi w:val="0"/>
              <w:spacing w:before="0" w:after="283"/>
              <w:jc w:val="right"/>
              <w:rPr>
                <w:b/>
              </w:rPr>
            </w:pPr>
            <w:r>
              <w:rPr>
                <w:b/>
              </w:rPr>
              <w:tab/>
              <w:t>(18,619)</w:t>
            </w:r>
          </w:p>
        </w:tc>
        <w:tc>
          <w:tcPr>
            <w:tcW w:w="1010" w:type="dxa"/>
            <w:tcBorders>
              <w:bottom w:val="single" w:sz="8" w:space="0" w:color="000000"/>
            </w:tcBorders>
            <w:shd w:fill="D5EAEA" w:val="clear"/>
            <w:vAlign w:val="center"/>
          </w:tcPr>
          <w:p>
            <w:pPr>
              <w:pStyle w:val="TableContents"/>
              <w:bidi w:val="0"/>
              <w:spacing w:before="0" w:after="283"/>
              <w:jc w:val="right"/>
              <w:rPr>
                <w:b/>
              </w:rPr>
            </w:pPr>
            <w:r>
              <w:rPr>
                <w:b/>
              </w:rPr>
              <w:tab/>
              <w:t>(6,640)</w:t>
            </w:r>
          </w:p>
        </w:tc>
        <w:tc>
          <w:tcPr>
            <w:tcW w:w="987" w:type="dxa"/>
            <w:tcBorders>
              <w:bottom w:val="single" w:sz="8" w:space="0" w:color="000000"/>
            </w:tcBorders>
            <w:shd w:fill="D5EAEA" w:val="clear"/>
            <w:vAlign w:val="center"/>
          </w:tcPr>
          <w:p>
            <w:pPr>
              <w:pStyle w:val="TableContents"/>
              <w:bidi w:val="0"/>
              <w:spacing w:before="0" w:after="283"/>
              <w:jc w:val="right"/>
              <w:rPr>
                <w:b/>
              </w:rPr>
            </w:pPr>
            <w:r>
              <w:rPr>
                <w:b/>
              </w:rPr>
              <w:tab/>
              <w:t>1,084</w:t>
              <w:tab/>
            </w:r>
          </w:p>
        </w:tc>
        <w:tc>
          <w:tcPr>
            <w:tcW w:w="1624" w:type="dxa"/>
            <w:tcBorders>
              <w:bottom w:val="single" w:sz="8" w:space="0" w:color="000000"/>
            </w:tcBorders>
            <w:shd w:fill="D5EAEA" w:val="clear"/>
            <w:vAlign w:val="center"/>
          </w:tcPr>
          <w:p>
            <w:pPr>
              <w:pStyle w:val="TableContents"/>
              <w:bidi w:val="0"/>
              <w:spacing w:before="0" w:after="283"/>
              <w:jc w:val="right"/>
              <w:rPr/>
            </w:pPr>
            <w:r>
              <w:rPr/>
              <w:t>-</w:t>
            </w:r>
          </w:p>
        </w:tc>
        <w:tc>
          <w:tcPr>
            <w:tcW w:w="1010" w:type="dxa"/>
            <w:tcBorders>
              <w:bottom w:val="single" w:sz="8" w:space="0" w:color="000000"/>
            </w:tcBorders>
            <w:shd w:fill="D5EAEA" w:val="clear"/>
            <w:vAlign w:val="center"/>
          </w:tcPr>
          <w:p>
            <w:pPr>
              <w:pStyle w:val="TableContents"/>
              <w:bidi w:val="0"/>
              <w:spacing w:before="0" w:after="283"/>
              <w:jc w:val="right"/>
              <w:rPr/>
            </w:pPr>
            <w:r>
              <w:rPr/>
              <w:t>-</w:t>
            </w:r>
          </w:p>
        </w:tc>
        <w:tc>
          <w:tcPr>
            <w:tcW w:w="685" w:type="dxa"/>
            <w:tcBorders>
              <w:bottom w:val="single" w:sz="8" w:space="0" w:color="000000"/>
            </w:tcBorders>
            <w:shd w:fill="D5EAEA" w:val="clear"/>
            <w:vAlign w:val="center"/>
          </w:tcPr>
          <w:p>
            <w:pPr>
              <w:pStyle w:val="TableContents"/>
              <w:bidi w:val="0"/>
              <w:spacing w:before="0" w:after="283"/>
              <w:jc w:val="right"/>
              <w:rPr>
                <w:b/>
              </w:rPr>
            </w:pPr>
            <w:r>
              <w:rPr>
                <w:b/>
              </w:rPr>
              <w:tab/>
              <w:t>(1,811)</w:t>
            </w:r>
          </w:p>
        </w:tc>
        <w:tc>
          <w:tcPr>
            <w:tcW w:w="1122" w:type="dxa"/>
            <w:tcBorders>
              <w:bottom w:val="single" w:sz="8" w:space="0" w:color="000000"/>
            </w:tcBorders>
            <w:shd w:fill="D5EAEA" w:val="clear"/>
            <w:vAlign w:val="center"/>
          </w:tcPr>
          <w:p>
            <w:pPr>
              <w:pStyle w:val="TableContents"/>
              <w:bidi w:val="0"/>
              <w:spacing w:before="0" w:after="283"/>
              <w:jc w:val="right"/>
              <w:rPr>
                <w:b/>
              </w:rPr>
            </w:pPr>
            <w:r>
              <w:rPr>
                <w:b/>
              </w:rPr>
              <w:tab/>
              <w:t>(25,986)</w:t>
            </w:r>
          </w:p>
        </w:tc>
      </w:tr>
      <w:tr>
        <w:trPr/>
        <w:tc>
          <w:tcPr>
            <w:tcW w:w="2566" w:type="dxa"/>
            <w:tcBorders/>
            <w:shd w:fill="FFFFFF" w:val="clear"/>
            <w:tcMar>
              <w:bottom w:w="0" w:type="dxa"/>
            </w:tcMar>
            <w:vAlign w:val="center"/>
          </w:tcPr>
          <w:p>
            <w:pPr>
              <w:pStyle w:val="TableContents"/>
              <w:bidi w:val="0"/>
              <w:spacing w:before="0" w:after="283"/>
              <w:jc w:val="left"/>
              <w:rPr>
                <w:b/>
              </w:rPr>
            </w:pPr>
            <w:r>
              <w:rPr>
                <w:b/>
              </w:rPr>
              <w:t>Property and equipment, net</w:t>
            </w:r>
          </w:p>
        </w:tc>
        <w:tc>
          <w:tcPr>
            <w:tcW w:w="1201" w:type="dxa"/>
            <w:tcBorders>
              <w:bottom w:val="double" w:sz="6" w:space="0" w:color="000000"/>
            </w:tcBorders>
            <w:shd w:fill="FFFFFF" w:val="clear"/>
            <w:vAlign w:val="center"/>
          </w:tcPr>
          <w:p>
            <w:pPr>
              <w:pStyle w:val="TableContents"/>
              <w:bidi w:val="0"/>
              <w:spacing w:before="0" w:after="283"/>
              <w:jc w:val="right"/>
              <w:rPr>
                <w:b/>
              </w:rPr>
            </w:pPr>
            <w:r>
              <w:rPr>
                <w:b/>
              </w:rPr>
              <w:tab/>
              <w:t>32,622</w:t>
              <w:tab/>
            </w:r>
          </w:p>
        </w:tc>
        <w:tc>
          <w:tcPr>
            <w:tcW w:w="1010" w:type="dxa"/>
            <w:tcBorders>
              <w:bottom w:val="double" w:sz="6" w:space="0" w:color="000000"/>
            </w:tcBorders>
            <w:shd w:fill="FFFFFF" w:val="clear"/>
            <w:vAlign w:val="center"/>
          </w:tcPr>
          <w:p>
            <w:pPr>
              <w:pStyle w:val="TableContents"/>
              <w:bidi w:val="0"/>
              <w:spacing w:before="0" w:after="283"/>
              <w:jc w:val="right"/>
              <w:rPr>
                <w:b/>
              </w:rPr>
            </w:pPr>
            <w:r>
              <w:rPr>
                <w:b/>
              </w:rPr>
              <w:tab/>
              <w:t>6,038</w:t>
              <w:tab/>
            </w:r>
          </w:p>
        </w:tc>
        <w:tc>
          <w:tcPr>
            <w:tcW w:w="987" w:type="dxa"/>
            <w:tcBorders>
              <w:bottom w:val="double" w:sz="6" w:space="0" w:color="000000"/>
            </w:tcBorders>
            <w:shd w:fill="FFFFFF" w:val="clear"/>
            <w:vAlign w:val="center"/>
          </w:tcPr>
          <w:p>
            <w:pPr>
              <w:pStyle w:val="TableContents"/>
              <w:bidi w:val="0"/>
              <w:spacing w:before="0" w:after="283"/>
              <w:jc w:val="right"/>
              <w:rPr>
                <w:b/>
              </w:rPr>
            </w:pPr>
            <w:r>
              <w:rPr>
                <w:b/>
              </w:rPr>
              <w:tab/>
              <w:t>1,025</w:t>
              <w:tab/>
            </w:r>
          </w:p>
        </w:tc>
        <w:tc>
          <w:tcPr>
            <w:tcW w:w="1624" w:type="dxa"/>
            <w:tcBorders>
              <w:bottom w:val="double" w:sz="6" w:space="0" w:color="000000"/>
            </w:tcBorders>
            <w:shd w:fill="FFFFFF" w:val="clear"/>
            <w:vAlign w:val="center"/>
          </w:tcPr>
          <w:p>
            <w:pPr>
              <w:pStyle w:val="TableContents"/>
              <w:bidi w:val="0"/>
              <w:spacing w:before="0" w:after="283"/>
              <w:jc w:val="right"/>
              <w:rPr>
                <w:b/>
              </w:rPr>
            </w:pPr>
            <w:r>
              <w:rPr>
                <w:b/>
              </w:rPr>
              <w:t>-</w:t>
            </w:r>
          </w:p>
        </w:tc>
        <w:tc>
          <w:tcPr>
            <w:tcW w:w="1010" w:type="dxa"/>
            <w:tcBorders>
              <w:bottom w:val="double" w:sz="6" w:space="0" w:color="000000"/>
            </w:tcBorders>
            <w:shd w:fill="FFFFFF" w:val="clear"/>
            <w:vAlign w:val="center"/>
          </w:tcPr>
          <w:p>
            <w:pPr>
              <w:pStyle w:val="TableContents"/>
              <w:bidi w:val="0"/>
              <w:spacing w:before="0" w:after="283"/>
              <w:jc w:val="right"/>
              <w:rPr>
                <w:b/>
              </w:rPr>
            </w:pPr>
            <w:r>
              <w:rPr>
                <w:b/>
              </w:rPr>
              <w:t>-</w:t>
            </w:r>
          </w:p>
        </w:tc>
        <w:tc>
          <w:tcPr>
            <w:tcW w:w="685" w:type="dxa"/>
            <w:tcBorders>
              <w:bottom w:val="double" w:sz="6" w:space="0" w:color="000000"/>
            </w:tcBorders>
            <w:shd w:fill="FFFFFF" w:val="clear"/>
            <w:vAlign w:val="center"/>
          </w:tcPr>
          <w:p>
            <w:pPr>
              <w:pStyle w:val="TableContents"/>
              <w:bidi w:val="0"/>
              <w:spacing w:before="0" w:after="283"/>
              <w:jc w:val="right"/>
              <w:rPr>
                <w:b/>
              </w:rPr>
            </w:pPr>
            <w:r>
              <w:rPr>
                <w:b/>
              </w:rPr>
              <w:tab/>
              <w:t>2,682</w:t>
              <w:tab/>
            </w:r>
          </w:p>
        </w:tc>
        <w:tc>
          <w:tcPr>
            <w:tcW w:w="1122" w:type="dxa"/>
            <w:tcBorders>
              <w:bottom w:val="double" w:sz="6" w:space="0" w:color="000000"/>
            </w:tcBorders>
            <w:shd w:fill="FFFFFF" w:val="clear"/>
            <w:vAlign w:val="center"/>
          </w:tcPr>
          <w:p>
            <w:pPr>
              <w:pStyle w:val="TableContents"/>
              <w:bidi w:val="0"/>
              <w:spacing w:before="0" w:after="283"/>
              <w:jc w:val="right"/>
              <w:rPr>
                <w:b/>
              </w:rPr>
            </w:pPr>
            <w:r>
              <w:rPr>
                <w:b/>
              </w:rPr>
              <w:tab/>
              <w:t>42,367</w:t>
              <w:tab/>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CTA – Cumulative translation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there was no indication that any of these assets were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918" w:type="dxa"/>
            <w:tcBorders/>
            <w:vAlign w:val="center"/>
          </w:tcPr>
          <w:p>
            <w:pPr>
              <w:pStyle w:val="TableContents"/>
              <w:bidi w:val="0"/>
              <w:spacing w:before="0" w:after="283"/>
              <w:jc w:val="both"/>
              <w:rPr/>
            </w:pPr>
            <w:r>
              <w:rPr/>
              <w:t>The Company is lessee in a lease agreement for which the underlying assets are the office spaces located in different jurisdictions (refer to note 21 (a)).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59"/>
        <w:gridCol w:w="9799"/>
      </w:tblGrid>
      <w:tr>
        <w:trPr/>
        <w:tc>
          <w:tcPr>
            <w:tcW w:w="4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(b)</w:t>
            </w:r>
          </w:p>
        </w:tc>
        <w:tc>
          <w:tcPr>
            <w:tcW w:w="9799" w:type="dxa"/>
            <w:tcBorders/>
            <w:vAlign w:val="center"/>
          </w:tcPr>
          <w:p>
            <w:pPr>
              <w:pStyle w:val="TableContents"/>
              <w:bidi w:val="0"/>
              <w:spacing w:before="0" w:after="283"/>
              <w:jc w:val="both"/>
              <w:rPr/>
            </w:pPr>
            <w:r>
              <w:rPr/>
              <w:t>The following is a breakdown of the total Property and equipment assets by region:</w:t>
            </w:r>
          </w:p>
        </w:tc>
      </w:tr>
    </w:tbl>
    <w:p>
      <w:pPr>
        <w:pStyle w:val="TextBody"/>
        <w:bidi w:val="0"/>
        <w:spacing w:before="0" w:after="0"/>
        <w:jc w:val="left"/>
        <w:rPr>
          <w:caps w:val="false"/>
          <w:smallCaps w:val="false"/>
        </w:rPr>
      </w:pPr>
      <w:r>
        <w:rPr>
          <w:caps w:val="false"/>
          <w:smallCaps w:val="false"/>
        </w:rPr>
        <w:t> </w:t>
      </w:r>
    </w:p>
    <w:tbl>
      <w:tblPr>
        <w:tblW w:w="4890" w:type="dxa"/>
        <w:jc w:val="center"/>
        <w:tblInd w:w="0" w:type="dxa"/>
        <w:tblLayout w:type="fixed"/>
        <w:tblCellMar>
          <w:top w:w="28" w:type="dxa"/>
          <w:left w:w="0" w:type="dxa"/>
          <w:bottom w:w="28" w:type="dxa"/>
          <w:right w:w="0" w:type="dxa"/>
        </w:tblCellMar>
      </w:tblPr>
      <w:tblGrid>
        <w:gridCol w:w="2045"/>
        <w:gridCol w:w="1190"/>
        <w:gridCol w:w="1655"/>
      </w:tblGrid>
      <w:tr>
        <w:trPr/>
        <w:tc>
          <w:tcPr>
            <w:tcW w:w="2045"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190" w:type="dxa"/>
            <w:tcBorders>
              <w:top w:val="single" w:sz="8" w:space="0" w:color="000000"/>
              <w:bottom w:val="single" w:sz="8" w:space="0" w:color="000000"/>
            </w:tcBorders>
            <w:vAlign w:val="center"/>
          </w:tcPr>
          <w:p>
            <w:pPr>
              <w:pStyle w:val="TableContents"/>
              <w:bidi w:val="0"/>
              <w:spacing w:before="0" w:after="283"/>
              <w:jc w:val="right"/>
              <w:rPr>
                <w:b/>
                <w:sz w:val="20"/>
              </w:rPr>
            </w:pPr>
            <w:r>
              <w:rPr>
                <w:b/>
                <w:sz w:val="20"/>
              </w:rPr>
              <w:t>June 30, 2026</w:t>
            </w:r>
          </w:p>
        </w:tc>
        <w:tc>
          <w:tcPr>
            <w:tcW w:w="1655" w:type="dxa"/>
            <w:tcBorders>
              <w:top w:val="single" w:sz="8" w:space="0" w:color="000000"/>
              <w:bottom w:val="single" w:sz="8" w:space="0" w:color="000000"/>
            </w:tcBorders>
            <w:vAlign w:val="center"/>
          </w:tcPr>
          <w:p>
            <w:pPr>
              <w:pStyle w:val="TableContents"/>
              <w:bidi w:val="0"/>
              <w:spacing w:before="0" w:after="283"/>
              <w:jc w:val="right"/>
              <w:rPr>
                <w:b/>
                <w:sz w:val="20"/>
              </w:rPr>
            </w:pPr>
            <w:r>
              <w:rPr>
                <w:b/>
                <w:sz w:val="20"/>
              </w:rPr>
              <w:t>December 31, 2025</w:t>
            </w:r>
          </w:p>
        </w:tc>
      </w:tr>
      <w:tr>
        <w:trPr/>
        <w:tc>
          <w:tcPr>
            <w:tcW w:w="2045" w:type="dxa"/>
            <w:tcBorders/>
            <w:shd w:fill="D5EAEA" w:val="clear"/>
            <w:tcMar>
              <w:top w:w="0" w:type="dxa"/>
              <w:bottom w:w="0" w:type="dxa"/>
            </w:tcMar>
            <w:vAlign w:val="center"/>
          </w:tcPr>
          <w:p>
            <w:pPr>
              <w:pStyle w:val="TableContents"/>
              <w:bidi w:val="0"/>
              <w:spacing w:before="0" w:after="283"/>
              <w:jc w:val="left"/>
              <w:rPr>
                <w:sz w:val="20"/>
              </w:rPr>
            </w:pPr>
            <w:r>
              <w:rPr>
                <w:sz w:val="20"/>
              </w:rPr>
              <w:t>Brazil</w:t>
            </w:r>
          </w:p>
        </w:tc>
        <w:tc>
          <w:tcPr>
            <w:tcW w:w="1190" w:type="dxa"/>
            <w:tcBorders/>
            <w:shd w:fill="D5EAEA" w:val="clear"/>
            <w:tcMar>
              <w:top w:w="0" w:type="dxa"/>
              <w:bottom w:w="0" w:type="dxa"/>
            </w:tcMar>
            <w:vAlign w:val="center"/>
          </w:tcPr>
          <w:p>
            <w:pPr>
              <w:pStyle w:val="TableContents"/>
              <w:bidi w:val="0"/>
              <w:spacing w:before="0" w:after="283"/>
              <w:jc w:val="right"/>
              <w:rPr>
                <w:sz w:val="20"/>
              </w:rPr>
            </w:pPr>
            <w:r>
              <w:rPr>
                <w:sz w:val="20"/>
              </w:rPr>
              <w:t>12,472</w:t>
            </w:r>
          </w:p>
        </w:tc>
        <w:tc>
          <w:tcPr>
            <w:tcW w:w="1655" w:type="dxa"/>
            <w:tcBorders/>
            <w:shd w:fill="D5EAEA" w:val="clear"/>
            <w:tcMar>
              <w:top w:w="0" w:type="dxa"/>
              <w:bottom w:w="0" w:type="dxa"/>
            </w:tcMar>
            <w:vAlign w:val="center"/>
          </w:tcPr>
          <w:p>
            <w:pPr>
              <w:pStyle w:val="TableContents"/>
              <w:bidi w:val="0"/>
              <w:spacing w:before="0" w:after="283"/>
              <w:jc w:val="right"/>
              <w:rPr>
                <w:sz w:val="20"/>
              </w:rPr>
            </w:pPr>
            <w:r>
              <w:rPr>
                <w:sz w:val="20"/>
              </w:rPr>
              <w:t>11,700</w:t>
            </w:r>
          </w:p>
        </w:tc>
      </w:tr>
      <w:tr>
        <w:trPr/>
        <w:tc>
          <w:tcPr>
            <w:tcW w:w="2045" w:type="dxa"/>
            <w:tcBorders/>
            <w:shd w:fill="FFFFFF" w:val="clear"/>
            <w:tcMar>
              <w:top w:w="0" w:type="dxa"/>
              <w:bottom w:w="0" w:type="dxa"/>
            </w:tcMar>
            <w:vAlign w:val="center"/>
          </w:tcPr>
          <w:p>
            <w:pPr>
              <w:pStyle w:val="TableContents"/>
              <w:bidi w:val="0"/>
              <w:spacing w:before="0" w:after="283"/>
              <w:jc w:val="left"/>
              <w:rPr>
                <w:sz w:val="20"/>
              </w:rPr>
            </w:pPr>
            <w:r>
              <w:rPr>
                <w:sz w:val="20"/>
              </w:rPr>
              <w:t>Cayman Islands</w:t>
            </w:r>
          </w:p>
        </w:tc>
        <w:tc>
          <w:tcPr>
            <w:tcW w:w="1190" w:type="dxa"/>
            <w:tcBorders/>
            <w:shd w:fill="FFFFFF" w:val="clear"/>
            <w:tcMar>
              <w:top w:w="0" w:type="dxa"/>
              <w:bottom w:w="0" w:type="dxa"/>
            </w:tcMar>
            <w:vAlign w:val="center"/>
          </w:tcPr>
          <w:p>
            <w:pPr>
              <w:pStyle w:val="TableContents"/>
              <w:bidi w:val="0"/>
              <w:spacing w:before="0" w:after="283"/>
              <w:jc w:val="right"/>
              <w:rPr>
                <w:sz w:val="20"/>
              </w:rPr>
            </w:pPr>
            <w:r>
              <w:rPr>
                <w:sz w:val="20"/>
              </w:rPr>
              <w:t>9,639</w:t>
            </w:r>
          </w:p>
        </w:tc>
        <w:tc>
          <w:tcPr>
            <w:tcW w:w="1655" w:type="dxa"/>
            <w:tcBorders/>
            <w:shd w:fill="FFFFFF" w:val="clear"/>
            <w:tcMar>
              <w:top w:w="0" w:type="dxa"/>
              <w:bottom w:w="0" w:type="dxa"/>
            </w:tcMar>
            <w:vAlign w:val="center"/>
          </w:tcPr>
          <w:p>
            <w:pPr>
              <w:pStyle w:val="TableContents"/>
              <w:bidi w:val="0"/>
              <w:spacing w:before="0" w:after="283"/>
              <w:jc w:val="right"/>
              <w:rPr>
                <w:sz w:val="20"/>
              </w:rPr>
            </w:pPr>
            <w:r>
              <w:rPr>
                <w:sz w:val="20"/>
              </w:rPr>
              <w:t>8,405</w:t>
            </w:r>
          </w:p>
        </w:tc>
      </w:tr>
      <w:tr>
        <w:trPr/>
        <w:tc>
          <w:tcPr>
            <w:tcW w:w="2045" w:type="dxa"/>
            <w:tcBorders/>
            <w:shd w:fill="D5EAEA" w:val="clear"/>
            <w:tcMar>
              <w:top w:w="0" w:type="dxa"/>
              <w:bottom w:w="0" w:type="dxa"/>
            </w:tcMar>
            <w:vAlign w:val="center"/>
          </w:tcPr>
          <w:p>
            <w:pPr>
              <w:pStyle w:val="TableContents"/>
              <w:bidi w:val="0"/>
              <w:spacing w:before="0" w:after="283"/>
              <w:jc w:val="left"/>
              <w:rPr>
                <w:sz w:val="20"/>
              </w:rPr>
            </w:pPr>
            <w:r>
              <w:rPr>
                <w:sz w:val="20"/>
              </w:rPr>
              <w:t>Chile</w:t>
            </w:r>
          </w:p>
        </w:tc>
        <w:tc>
          <w:tcPr>
            <w:tcW w:w="1190" w:type="dxa"/>
            <w:tcBorders/>
            <w:shd w:fill="D5EAEA" w:val="clear"/>
            <w:tcMar>
              <w:top w:w="0" w:type="dxa"/>
              <w:bottom w:w="0" w:type="dxa"/>
            </w:tcMar>
            <w:vAlign w:val="center"/>
          </w:tcPr>
          <w:p>
            <w:pPr>
              <w:pStyle w:val="TableContents"/>
              <w:bidi w:val="0"/>
              <w:spacing w:before="0" w:after="283"/>
              <w:jc w:val="right"/>
              <w:rPr>
                <w:sz w:val="20"/>
              </w:rPr>
            </w:pPr>
            <w:r>
              <w:rPr>
                <w:sz w:val="20"/>
              </w:rPr>
              <w:t>4,752</w:t>
            </w:r>
          </w:p>
        </w:tc>
        <w:tc>
          <w:tcPr>
            <w:tcW w:w="1655" w:type="dxa"/>
            <w:tcBorders/>
            <w:shd w:fill="D5EAEA" w:val="clear"/>
            <w:tcMar>
              <w:top w:w="0" w:type="dxa"/>
              <w:bottom w:w="0" w:type="dxa"/>
            </w:tcMar>
            <w:vAlign w:val="center"/>
          </w:tcPr>
          <w:p>
            <w:pPr>
              <w:pStyle w:val="TableContents"/>
              <w:bidi w:val="0"/>
              <w:spacing w:before="0" w:after="283"/>
              <w:jc w:val="right"/>
              <w:rPr>
                <w:sz w:val="20"/>
              </w:rPr>
            </w:pPr>
            <w:r>
              <w:rPr>
                <w:sz w:val="20"/>
              </w:rPr>
              <w:t>5,427</w:t>
            </w:r>
          </w:p>
        </w:tc>
      </w:tr>
      <w:tr>
        <w:trPr/>
        <w:tc>
          <w:tcPr>
            <w:tcW w:w="2045" w:type="dxa"/>
            <w:tcBorders/>
            <w:shd w:fill="FFFFFF" w:val="clear"/>
            <w:tcMar>
              <w:top w:w="0" w:type="dxa"/>
              <w:bottom w:w="0" w:type="dxa"/>
            </w:tcMar>
            <w:vAlign w:val="center"/>
          </w:tcPr>
          <w:p>
            <w:pPr>
              <w:pStyle w:val="TableContents"/>
              <w:bidi w:val="0"/>
              <w:spacing w:before="0" w:after="283"/>
              <w:jc w:val="left"/>
              <w:rPr>
                <w:sz w:val="20"/>
              </w:rPr>
            </w:pPr>
            <w:r>
              <w:rPr>
                <w:sz w:val="20"/>
              </w:rPr>
              <w:t>Colombia</w:t>
            </w:r>
          </w:p>
        </w:tc>
        <w:tc>
          <w:tcPr>
            <w:tcW w:w="1190" w:type="dxa"/>
            <w:tcBorders/>
            <w:shd w:fill="FFFFFF" w:val="clear"/>
            <w:tcMar>
              <w:top w:w="0" w:type="dxa"/>
              <w:bottom w:w="0" w:type="dxa"/>
            </w:tcMar>
            <w:vAlign w:val="center"/>
          </w:tcPr>
          <w:p>
            <w:pPr>
              <w:pStyle w:val="TableContents"/>
              <w:bidi w:val="0"/>
              <w:spacing w:before="0" w:after="283"/>
              <w:jc w:val="right"/>
              <w:rPr>
                <w:sz w:val="20"/>
              </w:rPr>
            </w:pPr>
            <w:r>
              <w:rPr>
                <w:sz w:val="20"/>
              </w:rPr>
              <w:t>2,991</w:t>
            </w:r>
          </w:p>
        </w:tc>
        <w:tc>
          <w:tcPr>
            <w:tcW w:w="1655" w:type="dxa"/>
            <w:tcBorders/>
            <w:shd w:fill="FFFFFF" w:val="clear"/>
            <w:tcMar>
              <w:top w:w="0" w:type="dxa"/>
              <w:bottom w:w="0" w:type="dxa"/>
            </w:tcMar>
            <w:vAlign w:val="center"/>
          </w:tcPr>
          <w:p>
            <w:pPr>
              <w:pStyle w:val="TableContents"/>
              <w:bidi w:val="0"/>
              <w:spacing w:before="0" w:after="283"/>
              <w:jc w:val="right"/>
              <w:rPr>
                <w:sz w:val="20"/>
              </w:rPr>
            </w:pPr>
            <w:r>
              <w:rPr>
                <w:sz w:val="20"/>
              </w:rPr>
              <w:t>2,800</w:t>
            </w:r>
          </w:p>
        </w:tc>
      </w:tr>
      <w:tr>
        <w:trPr/>
        <w:tc>
          <w:tcPr>
            <w:tcW w:w="2045" w:type="dxa"/>
            <w:tcBorders/>
            <w:shd w:fill="D5EAEA" w:val="clear"/>
            <w:tcMar>
              <w:top w:w="0" w:type="dxa"/>
              <w:bottom w:w="0" w:type="dxa"/>
            </w:tcMar>
            <w:vAlign w:val="center"/>
          </w:tcPr>
          <w:p>
            <w:pPr>
              <w:pStyle w:val="TableContents"/>
              <w:bidi w:val="0"/>
              <w:spacing w:before="0" w:after="283"/>
              <w:jc w:val="left"/>
              <w:rPr>
                <w:sz w:val="20"/>
              </w:rPr>
            </w:pPr>
            <w:r>
              <w:rPr>
                <w:sz w:val="20"/>
              </w:rPr>
              <w:t>United Kingdom</w:t>
            </w:r>
          </w:p>
        </w:tc>
        <w:tc>
          <w:tcPr>
            <w:tcW w:w="1190" w:type="dxa"/>
            <w:tcBorders/>
            <w:shd w:fill="D5EAEA" w:val="clear"/>
            <w:tcMar>
              <w:top w:w="0" w:type="dxa"/>
              <w:bottom w:w="0" w:type="dxa"/>
            </w:tcMar>
            <w:vAlign w:val="center"/>
          </w:tcPr>
          <w:p>
            <w:pPr>
              <w:pStyle w:val="TableContents"/>
              <w:bidi w:val="0"/>
              <w:spacing w:before="0" w:after="283"/>
              <w:jc w:val="right"/>
              <w:rPr>
                <w:sz w:val="20"/>
              </w:rPr>
            </w:pPr>
            <w:r>
              <w:rPr>
                <w:sz w:val="20"/>
              </w:rPr>
              <w:t>9,936</w:t>
            </w:r>
          </w:p>
        </w:tc>
        <w:tc>
          <w:tcPr>
            <w:tcW w:w="1655" w:type="dxa"/>
            <w:tcBorders/>
            <w:shd w:fill="D5EAEA" w:val="clear"/>
            <w:tcMar>
              <w:top w:w="0" w:type="dxa"/>
              <w:bottom w:w="0" w:type="dxa"/>
            </w:tcMar>
            <w:vAlign w:val="center"/>
          </w:tcPr>
          <w:p>
            <w:pPr>
              <w:pStyle w:val="TableContents"/>
              <w:bidi w:val="0"/>
              <w:spacing w:before="0" w:after="283"/>
              <w:jc w:val="right"/>
              <w:rPr>
                <w:sz w:val="20"/>
              </w:rPr>
            </w:pPr>
            <w:r>
              <w:rPr>
                <w:sz w:val="20"/>
              </w:rPr>
              <w:t>11,155</w:t>
            </w:r>
          </w:p>
        </w:tc>
      </w:tr>
      <w:tr>
        <w:trPr/>
        <w:tc>
          <w:tcPr>
            <w:tcW w:w="2045" w:type="dxa"/>
            <w:tcBorders/>
            <w:shd w:fill="FFFFFF" w:val="clear"/>
            <w:tcMar>
              <w:top w:w="0" w:type="dxa"/>
              <w:bottom w:w="0" w:type="dxa"/>
            </w:tcMar>
            <w:vAlign w:val="center"/>
          </w:tcPr>
          <w:p>
            <w:pPr>
              <w:pStyle w:val="TableContents"/>
              <w:bidi w:val="0"/>
              <w:spacing w:before="0" w:after="283"/>
              <w:jc w:val="left"/>
              <w:rPr>
                <w:sz w:val="20"/>
              </w:rPr>
            </w:pPr>
            <w:r>
              <w:rPr>
                <w:sz w:val="20"/>
              </w:rPr>
              <w:t>United States of America</w:t>
            </w:r>
          </w:p>
        </w:tc>
        <w:tc>
          <w:tcPr>
            <w:tcW w:w="1190" w:type="dxa"/>
            <w:tcBorders/>
            <w:shd w:fill="FFFFFF" w:val="clear"/>
            <w:tcMar>
              <w:top w:w="0" w:type="dxa"/>
              <w:bottom w:w="0" w:type="dxa"/>
            </w:tcMar>
            <w:vAlign w:val="center"/>
          </w:tcPr>
          <w:p>
            <w:pPr>
              <w:pStyle w:val="TableContents"/>
              <w:bidi w:val="0"/>
              <w:spacing w:before="0" w:after="283"/>
              <w:jc w:val="right"/>
              <w:rPr>
                <w:sz w:val="20"/>
              </w:rPr>
            </w:pPr>
            <w:r>
              <w:rPr>
                <w:sz w:val="20"/>
              </w:rPr>
              <w:t>5,636</w:t>
            </w:r>
          </w:p>
        </w:tc>
        <w:tc>
          <w:tcPr>
            <w:tcW w:w="1655" w:type="dxa"/>
            <w:tcBorders/>
            <w:shd w:fill="FFFFFF" w:val="clear"/>
            <w:tcMar>
              <w:top w:w="0" w:type="dxa"/>
              <w:bottom w:w="0" w:type="dxa"/>
            </w:tcMar>
            <w:vAlign w:val="center"/>
          </w:tcPr>
          <w:p>
            <w:pPr>
              <w:pStyle w:val="TableContents"/>
              <w:bidi w:val="0"/>
              <w:spacing w:before="0" w:after="283"/>
              <w:jc w:val="right"/>
              <w:rPr>
                <w:sz w:val="20"/>
              </w:rPr>
            </w:pPr>
            <w:r>
              <w:rPr>
                <w:sz w:val="20"/>
              </w:rPr>
              <w:t>2,658</w:t>
            </w:r>
          </w:p>
        </w:tc>
      </w:tr>
      <w:tr>
        <w:trPr/>
        <w:tc>
          <w:tcPr>
            <w:tcW w:w="2045" w:type="dxa"/>
            <w:tcBorders/>
            <w:shd w:fill="D5EAEA" w:val="clear"/>
            <w:tcMar>
              <w:top w:w="0" w:type="dxa"/>
              <w:bottom w:w="0" w:type="dxa"/>
            </w:tcMar>
            <w:vAlign w:val="center"/>
          </w:tcPr>
          <w:p>
            <w:pPr>
              <w:pStyle w:val="TableContents"/>
              <w:bidi w:val="0"/>
              <w:spacing w:before="0" w:after="283"/>
              <w:jc w:val="left"/>
              <w:rPr>
                <w:sz w:val="20"/>
              </w:rPr>
            </w:pPr>
            <w:r>
              <w:rPr>
                <w:sz w:val="20"/>
              </w:rPr>
              <w:t>Other</w:t>
            </w:r>
          </w:p>
        </w:tc>
        <w:tc>
          <w:tcPr>
            <w:tcW w:w="1190" w:type="dxa"/>
            <w:tcBorders>
              <w:bottom w:val="single" w:sz="8" w:space="0" w:color="000000"/>
            </w:tcBorders>
            <w:shd w:fill="D5EAEA" w:val="clear"/>
            <w:tcMar>
              <w:top w:w="0" w:type="dxa"/>
            </w:tcMar>
            <w:vAlign w:val="center"/>
          </w:tcPr>
          <w:p>
            <w:pPr>
              <w:pStyle w:val="TableContents"/>
              <w:bidi w:val="0"/>
              <w:spacing w:before="0" w:after="283"/>
              <w:jc w:val="right"/>
              <w:rPr>
                <w:sz w:val="20"/>
              </w:rPr>
            </w:pPr>
            <w:r>
              <w:rPr>
                <w:sz w:val="20"/>
              </w:rPr>
              <w:t>1,222</w:t>
            </w:r>
          </w:p>
        </w:tc>
        <w:tc>
          <w:tcPr>
            <w:tcW w:w="1655" w:type="dxa"/>
            <w:tcBorders>
              <w:bottom w:val="single" w:sz="8" w:space="0" w:color="000000"/>
            </w:tcBorders>
            <w:shd w:fill="D5EAEA" w:val="clear"/>
            <w:tcMar>
              <w:top w:w="0" w:type="dxa"/>
            </w:tcMar>
            <w:vAlign w:val="center"/>
          </w:tcPr>
          <w:p>
            <w:pPr>
              <w:pStyle w:val="TableContents"/>
              <w:bidi w:val="0"/>
              <w:spacing w:before="0" w:after="283"/>
              <w:jc w:val="right"/>
              <w:rPr>
                <w:sz w:val="20"/>
              </w:rPr>
            </w:pPr>
            <w:r>
              <w:rPr>
                <w:sz w:val="20"/>
              </w:rPr>
              <w:t>222</w:t>
            </w:r>
          </w:p>
        </w:tc>
      </w:tr>
      <w:tr>
        <w:trPr/>
        <w:tc>
          <w:tcPr>
            <w:tcW w:w="2045" w:type="dxa"/>
            <w:tcBorders/>
            <w:shd w:fill="FFFFFF" w:val="clear"/>
            <w:tcMar>
              <w:top w:w="0" w:type="dxa"/>
              <w:bottom w:w="0" w:type="dxa"/>
            </w:tcMar>
            <w:vAlign w:val="center"/>
          </w:tcPr>
          <w:p>
            <w:pPr>
              <w:pStyle w:val="TableContents"/>
              <w:bidi w:val="0"/>
              <w:spacing w:before="0" w:after="283"/>
              <w:jc w:val="left"/>
              <w:rPr>
                <w:b/>
                <w:sz w:val="20"/>
              </w:rPr>
            </w:pPr>
            <w:r>
              <w:rPr>
                <w:b/>
                <w:sz w:val="20"/>
              </w:rPr>
              <w:t xml:space="preserve">Balance </w:t>
            </w:r>
          </w:p>
        </w:tc>
        <w:tc>
          <w:tcPr>
            <w:tcW w:w="1190" w:type="dxa"/>
            <w:tcBorders>
              <w:bottom w:val="double" w:sz="6" w:space="0" w:color="000000"/>
            </w:tcBorders>
            <w:shd w:fill="FFFFFF" w:val="clear"/>
            <w:tcMar>
              <w:top w:w="0" w:type="dxa"/>
            </w:tcMar>
            <w:vAlign w:val="center"/>
          </w:tcPr>
          <w:p>
            <w:pPr>
              <w:pStyle w:val="TableContents"/>
              <w:bidi w:val="0"/>
              <w:spacing w:before="0" w:after="283"/>
              <w:jc w:val="right"/>
              <w:rPr>
                <w:b/>
                <w:sz w:val="20"/>
              </w:rPr>
            </w:pPr>
            <w:r>
              <w:rPr>
                <w:b/>
                <w:sz w:val="20"/>
              </w:rPr>
              <w:t>46,648</w:t>
            </w:r>
          </w:p>
        </w:tc>
        <w:tc>
          <w:tcPr>
            <w:tcW w:w="1655" w:type="dxa"/>
            <w:tcBorders>
              <w:bottom w:val="double" w:sz="6" w:space="0" w:color="000000"/>
            </w:tcBorders>
            <w:shd w:fill="FFFFFF" w:val="clear"/>
            <w:tcMar>
              <w:top w:w="0" w:type="dxa"/>
            </w:tcMar>
            <w:vAlign w:val="center"/>
          </w:tcPr>
          <w:p>
            <w:pPr>
              <w:pStyle w:val="TableContents"/>
              <w:bidi w:val="0"/>
              <w:spacing w:before="0" w:after="283"/>
              <w:jc w:val="right"/>
              <w:rPr>
                <w:b/>
                <w:sz w:val="20"/>
              </w:rPr>
            </w:pPr>
            <w:r>
              <w:rPr>
                <w:b/>
                <w:sz w:val="20"/>
              </w:rPr>
              <w:t>42,367</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assets are allocated based on where the assets are located, and include leasehold improvements, and right-of-use lease assets.</w:t>
      </w:r>
    </w:p>
    <w:p>
      <w:pPr>
        <w:pStyle w:val="TextBody"/>
        <w:bidi w:val="0"/>
        <w:spacing w:before="0" w:after="0"/>
        <w:ind w:left="720" w:right="0" w:hanging="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335"/>
        <w:gridCol w:w="2885"/>
      </w:tblGrid>
      <w:tr>
        <w:trPr/>
        <w:tc>
          <w:tcPr>
            <w:tcW w:w="335" w:type="dxa"/>
            <w:tcBorders/>
            <w:vAlign w:val="center"/>
          </w:tcPr>
          <w:p>
            <w:pPr>
              <w:pStyle w:val="TableContents"/>
              <w:bidi w:val="0"/>
              <w:spacing w:before="0" w:after="283"/>
              <w:jc w:val="left"/>
              <w:rPr/>
            </w:pPr>
            <w:r>
              <w:rPr/>
              <w:t>14.</w:t>
            </w:r>
          </w:p>
        </w:tc>
        <w:tc>
          <w:tcPr>
            <w:tcW w:w="2885" w:type="dxa"/>
            <w:tcBorders/>
            <w:vAlign w:val="center"/>
          </w:tcPr>
          <w:p>
            <w:pPr>
              <w:pStyle w:val="TableContents"/>
              <w:bidi w:val="0"/>
              <w:spacing w:before="0" w:after="283"/>
              <w:jc w:val="left"/>
              <w:rPr/>
            </w:pPr>
            <w:r>
              <w:rPr/>
              <w:t>Intangible assets and goodwill</w:t>
            </w:r>
          </w:p>
        </w:tc>
      </w:tr>
    </w:tbl>
    <w:p>
      <w:pPr>
        <w:pStyle w:val="TextBody"/>
        <w:bidi w:val="0"/>
        <w:spacing w:before="0" w:after="0"/>
        <w:jc w:val="left"/>
        <w:rPr>
          <w:caps w:val="false"/>
          <w:smallCaps w:val="false"/>
        </w:rPr>
      </w:pPr>
      <w:r>
        <w:rPr>
          <w:caps w:val="false"/>
          <w:smallCaps w:val="false"/>
        </w:rPr>
        <w:t> </w:t>
      </w:r>
    </w:p>
    <w:tbl>
      <w:tblPr>
        <w:tblW w:w="8160" w:type="dxa"/>
        <w:jc w:val="center"/>
        <w:tblInd w:w="0" w:type="dxa"/>
        <w:tblLayout w:type="fixed"/>
        <w:tblCellMar>
          <w:top w:w="0" w:type="dxa"/>
          <w:left w:w="0" w:type="dxa"/>
          <w:bottom w:w="28" w:type="dxa"/>
          <w:right w:w="0" w:type="dxa"/>
        </w:tblCellMar>
      </w:tblPr>
      <w:tblGrid>
        <w:gridCol w:w="3710"/>
        <w:gridCol w:w="815"/>
        <w:gridCol w:w="830"/>
        <w:gridCol w:w="1205"/>
        <w:gridCol w:w="695"/>
        <w:gridCol w:w="905"/>
      </w:tblGrid>
      <w:tr>
        <w:trPr/>
        <w:tc>
          <w:tcPr>
            <w:tcW w:w="3710" w:type="dxa"/>
            <w:tcBorders>
              <w:bottom w:val="single" w:sz="8" w:space="0" w:color="000000"/>
            </w:tcBorders>
            <w:vAlign w:val="center"/>
          </w:tcPr>
          <w:p>
            <w:pPr>
              <w:pStyle w:val="TableContents"/>
              <w:bidi w:val="0"/>
              <w:spacing w:before="0" w:after="283"/>
              <w:jc w:val="left"/>
              <w:rPr/>
            </w:pPr>
            <w:r>
              <w:rPr/>
              <w:t> </w:t>
            </w:r>
          </w:p>
        </w:tc>
        <w:tc>
          <w:tcPr>
            <w:tcW w:w="4450" w:type="dxa"/>
            <w:gridSpan w:val="5"/>
            <w:tcBorders>
              <w:bottom w:val="single" w:sz="8" w:space="0" w:color="000000"/>
            </w:tcBorders>
            <w:vAlign w:val="center"/>
          </w:tcPr>
          <w:p>
            <w:pPr>
              <w:pStyle w:val="TableContents"/>
              <w:bidi w:val="0"/>
              <w:spacing w:before="0" w:after="283"/>
              <w:jc w:val="center"/>
              <w:rPr>
                <w:b/>
                <w:sz w:val="20"/>
              </w:rPr>
            </w:pPr>
            <w:r>
              <w:rPr>
                <w:b/>
                <w:sz w:val="20"/>
              </w:rPr>
              <w:t>Six-month period ended June 30, 2026</w:t>
            </w:r>
          </w:p>
        </w:tc>
      </w:tr>
      <w:tr>
        <w:trPr/>
        <w:tc>
          <w:tcPr>
            <w:tcW w:w="3710" w:type="dxa"/>
            <w:tcBorders>
              <w:bottom w:val="single" w:sz="8" w:space="0" w:color="000000"/>
            </w:tcBorders>
            <w:vAlign w:val="center"/>
          </w:tcPr>
          <w:p>
            <w:pPr>
              <w:pStyle w:val="TableContents"/>
              <w:bidi w:val="0"/>
              <w:spacing w:before="0" w:after="283"/>
              <w:jc w:val="left"/>
              <w:rPr>
                <w:b/>
                <w:i/>
                <w:sz w:val="20"/>
              </w:rPr>
            </w:pPr>
            <w:r>
              <w:rPr>
                <w:b/>
                <w:i/>
                <w:sz w:val="20"/>
              </w:rPr>
              <w:t>Changes in costs</w:t>
            </w:r>
          </w:p>
        </w:tc>
        <w:tc>
          <w:tcPr>
            <w:tcW w:w="8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Opening</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830" w:type="dxa"/>
            <w:tcBorders>
              <w:bottom w:val="single" w:sz="8" w:space="0" w:color="000000"/>
            </w:tcBorders>
            <w:vAlign w:val="center"/>
          </w:tcPr>
          <w:p>
            <w:pPr>
              <w:pStyle w:val="TableContents"/>
              <w:bidi w:val="0"/>
              <w:spacing w:before="0" w:after="283"/>
              <w:jc w:val="center"/>
              <w:rPr>
                <w:b/>
                <w:sz w:val="20"/>
              </w:rPr>
            </w:pPr>
            <w:r>
              <w:rPr>
                <w:b/>
                <w:sz w:val="20"/>
              </w:rPr>
              <w:t>Additions</w:t>
            </w:r>
          </w:p>
        </w:tc>
        <w:tc>
          <w:tcPr>
            <w:tcW w:w="12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Combinations</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CTA(*)</w:t>
            </w:r>
          </w:p>
        </w:tc>
        <w:tc>
          <w:tcPr>
            <w:tcW w:w="9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Balance</w:t>
            </w:r>
            <w:r>
              <w:rPr>
                <w:rFonts w:ascii="Times New Roman;Times;Serif" w:hAnsi="Times New Roman;Times;Serif"/>
                <w:b w:val="false"/>
                <w:i w:val="false"/>
                <w:caps w:val="false"/>
                <w:smallCaps w:val="false"/>
                <w:sz w:val="20"/>
              </w:rPr>
              <w:t> </w:t>
            </w:r>
          </w:p>
        </w:tc>
      </w:tr>
      <w:tr>
        <w:trPr/>
        <w:tc>
          <w:tcPr>
            <w:tcW w:w="371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 </w:t>
            </w:r>
          </w:p>
        </w:tc>
        <w:tc>
          <w:tcPr>
            <w:tcW w:w="695" w:type="dxa"/>
            <w:tcBorders/>
            <w:tcMar>
              <w:bottom w:w="0" w:type="dxa"/>
            </w:tcMar>
            <w:vAlign w:val="center"/>
          </w:tcPr>
          <w:p>
            <w:pPr>
              <w:pStyle w:val="TableContents"/>
              <w:bidi w:val="0"/>
              <w:spacing w:before="0" w:after="283"/>
              <w:jc w:val="right"/>
              <w:rPr/>
            </w:pPr>
            <w:r>
              <w:rPr/>
              <w:t> </w:t>
            </w:r>
          </w:p>
        </w:tc>
        <w:tc>
          <w:tcPr>
            <w:tcW w:w="905" w:type="dxa"/>
            <w:tcBorders/>
            <w:tcMar>
              <w:bottom w:w="0" w:type="dxa"/>
            </w:tcMar>
            <w:vAlign w:val="center"/>
          </w:tcPr>
          <w:p>
            <w:pPr>
              <w:pStyle w:val="TableContents"/>
              <w:bidi w:val="0"/>
              <w:spacing w:before="0" w:after="283"/>
              <w:jc w:val="right"/>
              <w:rPr/>
            </w:pPr>
            <w:r>
              <w:rPr/>
              <w:t> </w:t>
            </w:r>
          </w:p>
        </w:tc>
      </w:tr>
      <w:tr>
        <w:trPr/>
        <w:tc>
          <w:tcPr>
            <w:tcW w:w="3710" w:type="dxa"/>
            <w:tcBorders/>
            <w:shd w:fill="D5EAEA" w:val="clear"/>
            <w:tcMar>
              <w:bottom w:w="0" w:type="dxa"/>
            </w:tcMar>
            <w:vAlign w:val="center"/>
          </w:tcPr>
          <w:p>
            <w:pPr>
              <w:pStyle w:val="TableContents"/>
              <w:bidi w:val="0"/>
              <w:spacing w:before="0" w:after="283"/>
              <w:jc w:val="left"/>
              <w:rPr>
                <w:sz w:val="20"/>
              </w:rPr>
            </w:pPr>
            <w:r>
              <w:rPr>
                <w:sz w:val="20"/>
              </w:rPr>
              <w:t>Placement agents (a)</w:t>
            </w:r>
          </w:p>
        </w:tc>
        <w:tc>
          <w:tcPr>
            <w:tcW w:w="815" w:type="dxa"/>
            <w:tcBorders/>
            <w:shd w:fill="D5EAEA" w:val="clear"/>
            <w:tcMar>
              <w:bottom w:w="0" w:type="dxa"/>
            </w:tcMar>
            <w:vAlign w:val="center"/>
          </w:tcPr>
          <w:p>
            <w:pPr>
              <w:pStyle w:val="TableContents"/>
              <w:bidi w:val="0"/>
              <w:spacing w:before="0" w:after="283"/>
              <w:jc w:val="right"/>
              <w:rPr/>
            </w:pPr>
            <w:r>
              <w:rPr/>
              <w:t> </w:t>
            </w:r>
            <w:r>
              <w:rPr>
                <w:sz w:val="20"/>
              </w:rPr>
              <w:t xml:space="preserve">57,970 </w:t>
            </w:r>
          </w:p>
        </w:tc>
        <w:tc>
          <w:tcPr>
            <w:tcW w:w="830" w:type="dxa"/>
            <w:tcBorders/>
            <w:shd w:fill="D5EAEA" w:val="clear"/>
            <w:tcMar>
              <w:bottom w:w="0" w:type="dxa"/>
            </w:tcMar>
            <w:vAlign w:val="center"/>
          </w:tcPr>
          <w:p>
            <w:pPr>
              <w:pStyle w:val="TableContents"/>
              <w:bidi w:val="0"/>
              <w:spacing w:before="0" w:after="283"/>
              <w:jc w:val="right"/>
              <w:rPr>
                <w:sz w:val="20"/>
              </w:rPr>
            </w:pPr>
            <w:r>
              <w:rPr>
                <w:sz w:val="20"/>
              </w:rPr>
              <w:t xml:space="preserve">8,290 </w:t>
            </w:r>
          </w:p>
        </w:tc>
        <w:tc>
          <w:tcPr>
            <w:tcW w:w="1205" w:type="dxa"/>
            <w:tcBorders/>
            <w:shd w:fill="D5EAEA" w:val="clear"/>
            <w:tcMar>
              <w:bottom w:w="0" w:type="dxa"/>
            </w:tcMar>
            <w:vAlign w:val="center"/>
          </w:tcPr>
          <w:p>
            <w:pPr>
              <w:pStyle w:val="TableContents"/>
              <w:bidi w:val="0"/>
              <w:spacing w:before="0" w:after="283"/>
              <w:jc w:val="right"/>
              <w:rPr>
                <w:sz w:val="20"/>
              </w:rPr>
            </w:pPr>
            <w:r>
              <w:rPr>
                <w:sz w:val="20"/>
              </w:rPr>
              <w:t>-</w:t>
            </w:r>
          </w:p>
        </w:tc>
        <w:tc>
          <w:tcPr>
            <w:tcW w:w="695" w:type="dxa"/>
            <w:tcBorders/>
            <w:shd w:fill="D5EAEA" w:val="clear"/>
            <w:tcMar>
              <w:bottom w:w="0" w:type="dxa"/>
            </w:tcMar>
            <w:vAlign w:val="center"/>
          </w:tcPr>
          <w:p>
            <w:pPr>
              <w:pStyle w:val="TableContents"/>
              <w:bidi w:val="0"/>
              <w:spacing w:before="0" w:after="283"/>
              <w:jc w:val="right"/>
              <w:rPr/>
            </w:pPr>
            <w:r>
              <w:rPr/>
              <w:t> </w:t>
            </w:r>
            <w:r>
              <w:rPr>
                <w:sz w:val="20"/>
              </w:rPr>
              <w:t xml:space="preserve">1,404 </w:t>
            </w:r>
          </w:p>
        </w:tc>
        <w:tc>
          <w:tcPr>
            <w:tcW w:w="905" w:type="dxa"/>
            <w:tcBorders/>
            <w:shd w:fill="D5EAEA" w:val="clear"/>
            <w:tcMar>
              <w:bottom w:w="0" w:type="dxa"/>
            </w:tcMar>
            <w:vAlign w:val="center"/>
          </w:tcPr>
          <w:p>
            <w:pPr>
              <w:pStyle w:val="TableContents"/>
              <w:bidi w:val="0"/>
              <w:spacing w:before="0" w:after="283"/>
              <w:jc w:val="right"/>
              <w:rPr>
                <w:sz w:val="20"/>
              </w:rPr>
            </w:pPr>
            <w:r>
              <w:rPr>
                <w:sz w:val="20"/>
              </w:rPr>
              <w:t xml:space="preserve">67,664 </w:t>
            </w:r>
          </w:p>
        </w:tc>
      </w:tr>
      <w:tr>
        <w:trPr/>
        <w:tc>
          <w:tcPr>
            <w:tcW w:w="3710" w:type="dxa"/>
            <w:tcBorders/>
            <w:shd w:fill="FFFFFF" w:val="clear"/>
            <w:tcMar>
              <w:bottom w:w="0" w:type="dxa"/>
            </w:tcMar>
            <w:vAlign w:val="center"/>
          </w:tcPr>
          <w:p>
            <w:pPr>
              <w:pStyle w:val="TableContents"/>
              <w:bidi w:val="0"/>
              <w:spacing w:before="0" w:after="283"/>
              <w:jc w:val="left"/>
              <w:rPr>
                <w:sz w:val="20"/>
              </w:rPr>
            </w:pPr>
            <w:r>
              <w:rPr>
                <w:sz w:val="20"/>
              </w:rPr>
              <w:t xml:space="preserve">Contractual rights (b) </w:t>
            </w:r>
          </w:p>
        </w:tc>
        <w:tc>
          <w:tcPr>
            <w:tcW w:w="815" w:type="dxa"/>
            <w:tcBorders/>
            <w:shd w:fill="FFFFFF" w:val="clear"/>
            <w:tcMar>
              <w:bottom w:w="0" w:type="dxa"/>
            </w:tcMar>
            <w:vAlign w:val="center"/>
          </w:tcPr>
          <w:p>
            <w:pPr>
              <w:pStyle w:val="TableContents"/>
              <w:bidi w:val="0"/>
              <w:spacing w:before="0" w:after="283"/>
              <w:jc w:val="right"/>
              <w:rPr/>
            </w:pPr>
            <w:r>
              <w:rPr/>
              <w:t> </w:t>
            </w:r>
            <w:r>
              <w:rPr>
                <w:sz w:val="20"/>
              </w:rPr>
              <w:t>339,547 </w:t>
            </w:r>
          </w:p>
        </w:tc>
        <w:tc>
          <w:tcPr>
            <w:tcW w:w="830" w:type="dxa"/>
            <w:tcBorders/>
            <w:shd w:fill="FFFFFF" w:val="clear"/>
            <w:tcMar>
              <w:bottom w:w="0" w:type="dxa"/>
            </w:tcMar>
            <w:vAlign w:val="center"/>
          </w:tcPr>
          <w:p>
            <w:pPr>
              <w:pStyle w:val="TableContents"/>
              <w:bidi w:val="0"/>
              <w:spacing w:before="0" w:after="283"/>
              <w:jc w:val="right"/>
              <w:rPr/>
            </w:pPr>
            <w:r>
              <w:rPr/>
              <w:t> </w:t>
            </w:r>
            <w:r>
              <w:rPr>
                <w:sz w:val="20"/>
              </w:rPr>
              <w:t xml:space="preserve">74 </w:t>
            </w:r>
          </w:p>
        </w:tc>
        <w:tc>
          <w:tcPr>
            <w:tcW w:w="1205" w:type="dxa"/>
            <w:tcBorders/>
            <w:shd w:fill="FFFFFF" w:val="clear"/>
            <w:tcMar>
              <w:bottom w:w="0" w:type="dxa"/>
            </w:tcMar>
            <w:vAlign w:val="center"/>
          </w:tcPr>
          <w:p>
            <w:pPr>
              <w:pStyle w:val="TableContents"/>
              <w:bidi w:val="0"/>
              <w:spacing w:before="0" w:after="283"/>
              <w:jc w:val="right"/>
              <w:rPr>
                <w:sz w:val="20"/>
              </w:rPr>
            </w:pPr>
            <w:r>
              <w:rPr>
                <w:sz w:val="20"/>
              </w:rPr>
              <w:t>182,843</w:t>
            </w:r>
          </w:p>
        </w:tc>
        <w:tc>
          <w:tcPr>
            <w:tcW w:w="695" w:type="dxa"/>
            <w:tcBorders/>
            <w:shd w:fill="FFFFFF" w:val="clear"/>
            <w:tcMar>
              <w:bottom w:w="0" w:type="dxa"/>
            </w:tcMar>
            <w:vAlign w:val="center"/>
          </w:tcPr>
          <w:p>
            <w:pPr>
              <w:pStyle w:val="TableContents"/>
              <w:bidi w:val="0"/>
              <w:spacing w:before="0" w:after="283"/>
              <w:jc w:val="right"/>
              <w:rPr/>
            </w:pPr>
            <w:r>
              <w:rPr/>
              <w:t> </w:t>
            </w:r>
            <w:r>
              <w:rPr>
                <w:sz w:val="20"/>
              </w:rPr>
              <w:t xml:space="preserve">12,937 </w:t>
            </w:r>
          </w:p>
        </w:tc>
        <w:tc>
          <w:tcPr>
            <w:tcW w:w="905" w:type="dxa"/>
            <w:tcBorders/>
            <w:shd w:fill="FFFFFF" w:val="clear"/>
            <w:tcMar>
              <w:bottom w:w="0" w:type="dxa"/>
            </w:tcMar>
            <w:vAlign w:val="center"/>
          </w:tcPr>
          <w:p>
            <w:pPr>
              <w:pStyle w:val="TableContents"/>
              <w:bidi w:val="0"/>
              <w:spacing w:before="0" w:after="283"/>
              <w:jc w:val="right"/>
              <w:rPr/>
            </w:pPr>
            <w:r>
              <w:rPr/>
              <w:t> </w:t>
            </w:r>
            <w:r>
              <w:rPr>
                <w:sz w:val="20"/>
              </w:rPr>
              <w:t xml:space="preserve">535,401 </w:t>
            </w:r>
          </w:p>
        </w:tc>
      </w:tr>
      <w:tr>
        <w:trPr/>
        <w:tc>
          <w:tcPr>
            <w:tcW w:w="3710" w:type="dxa"/>
            <w:tcBorders/>
            <w:shd w:fill="D5EAEA" w:val="clear"/>
            <w:tcMar>
              <w:bottom w:w="0" w:type="dxa"/>
            </w:tcMar>
            <w:vAlign w:val="center"/>
          </w:tcPr>
          <w:p>
            <w:pPr>
              <w:pStyle w:val="TableContents"/>
              <w:bidi w:val="0"/>
              <w:spacing w:before="0" w:after="283"/>
              <w:jc w:val="left"/>
              <w:rPr>
                <w:sz w:val="20"/>
              </w:rPr>
            </w:pPr>
            <w:r>
              <w:rPr>
                <w:sz w:val="20"/>
              </w:rPr>
              <w:t>Non-contractual customer relationships (c)</w:t>
            </w:r>
          </w:p>
        </w:tc>
        <w:tc>
          <w:tcPr>
            <w:tcW w:w="815" w:type="dxa"/>
            <w:tcBorders/>
            <w:shd w:fill="D5EAEA" w:val="clear"/>
            <w:tcMar>
              <w:bottom w:w="0" w:type="dxa"/>
            </w:tcMar>
            <w:vAlign w:val="center"/>
          </w:tcPr>
          <w:p>
            <w:pPr>
              <w:pStyle w:val="TableContents"/>
              <w:bidi w:val="0"/>
              <w:spacing w:before="0" w:after="283"/>
              <w:jc w:val="right"/>
              <w:rPr>
                <w:sz w:val="20"/>
              </w:rPr>
            </w:pPr>
            <w:r>
              <w:rPr>
                <w:sz w:val="20"/>
              </w:rPr>
              <w:t xml:space="preserve">121,721 </w:t>
            </w:r>
          </w:p>
        </w:tc>
        <w:tc>
          <w:tcPr>
            <w:tcW w:w="830" w:type="dxa"/>
            <w:tcBorders/>
            <w:shd w:fill="D5EAEA" w:val="clear"/>
            <w:tcMar>
              <w:bottom w:w="0" w:type="dxa"/>
            </w:tcMar>
            <w:vAlign w:val="center"/>
          </w:tcPr>
          <w:p>
            <w:pPr>
              <w:pStyle w:val="TableContents"/>
              <w:bidi w:val="0"/>
              <w:spacing w:before="0" w:after="283"/>
              <w:jc w:val="right"/>
              <w:rPr/>
            </w:pPr>
            <w:r>
              <w:rPr/>
              <w:t> </w:t>
            </w:r>
            <w:r>
              <w:rPr>
                <w:sz w:val="20"/>
              </w:rPr>
              <w:t xml:space="preserve">- </w:t>
            </w:r>
          </w:p>
        </w:tc>
        <w:tc>
          <w:tcPr>
            <w:tcW w:w="1205" w:type="dxa"/>
            <w:tcBorders/>
            <w:shd w:fill="D5EAEA" w:val="clear"/>
            <w:tcMar>
              <w:bottom w:w="0" w:type="dxa"/>
            </w:tcMar>
            <w:vAlign w:val="center"/>
          </w:tcPr>
          <w:p>
            <w:pPr>
              <w:pStyle w:val="TableContents"/>
              <w:bidi w:val="0"/>
              <w:spacing w:before="0" w:after="283"/>
              <w:jc w:val="right"/>
              <w:rPr>
                <w:sz w:val="20"/>
              </w:rPr>
            </w:pPr>
            <w:r>
              <w:rPr>
                <w:sz w:val="20"/>
              </w:rPr>
              <w:t>2,320</w:t>
            </w:r>
          </w:p>
        </w:tc>
        <w:tc>
          <w:tcPr>
            <w:tcW w:w="695" w:type="dxa"/>
            <w:tcBorders/>
            <w:shd w:fill="D5EAEA" w:val="clear"/>
            <w:tcMar>
              <w:bottom w:w="0" w:type="dxa"/>
            </w:tcMar>
            <w:vAlign w:val="center"/>
          </w:tcPr>
          <w:p>
            <w:pPr>
              <w:pStyle w:val="TableContents"/>
              <w:bidi w:val="0"/>
              <w:spacing w:before="0" w:after="283"/>
              <w:jc w:val="right"/>
              <w:rPr/>
            </w:pPr>
            <w:r>
              <w:rPr/>
              <w:t> </w:t>
            </w:r>
            <w:r>
              <w:rPr>
                <w:sz w:val="20"/>
              </w:rPr>
              <w:t xml:space="preserve">2,673 </w:t>
            </w:r>
          </w:p>
        </w:tc>
        <w:tc>
          <w:tcPr>
            <w:tcW w:w="905" w:type="dxa"/>
            <w:tcBorders/>
            <w:shd w:fill="D5EAEA" w:val="clear"/>
            <w:tcMar>
              <w:bottom w:w="0" w:type="dxa"/>
            </w:tcMar>
            <w:vAlign w:val="center"/>
          </w:tcPr>
          <w:p>
            <w:pPr>
              <w:pStyle w:val="TableContents"/>
              <w:bidi w:val="0"/>
              <w:spacing w:before="0" w:after="283"/>
              <w:jc w:val="right"/>
              <w:rPr>
                <w:sz w:val="20"/>
              </w:rPr>
            </w:pPr>
            <w:r>
              <w:rPr>
                <w:sz w:val="20"/>
              </w:rPr>
              <w:t xml:space="preserve">126,714 </w:t>
            </w:r>
          </w:p>
        </w:tc>
      </w:tr>
      <w:tr>
        <w:trPr/>
        <w:tc>
          <w:tcPr>
            <w:tcW w:w="3710" w:type="dxa"/>
            <w:tcBorders/>
            <w:shd w:fill="FFFFFF" w:val="clear"/>
            <w:tcMar>
              <w:bottom w:w="0" w:type="dxa"/>
            </w:tcMar>
            <w:vAlign w:val="center"/>
          </w:tcPr>
          <w:p>
            <w:pPr>
              <w:pStyle w:val="TableContents"/>
              <w:bidi w:val="0"/>
              <w:spacing w:before="0" w:after="283"/>
              <w:jc w:val="left"/>
              <w:rPr>
                <w:sz w:val="20"/>
              </w:rPr>
            </w:pPr>
            <w:r>
              <w:rPr>
                <w:sz w:val="20"/>
              </w:rPr>
              <w:t xml:space="preserve">Software </w:t>
            </w:r>
          </w:p>
        </w:tc>
        <w:tc>
          <w:tcPr>
            <w:tcW w:w="815" w:type="dxa"/>
            <w:tcBorders/>
            <w:shd w:fill="FFFFFF" w:val="clear"/>
            <w:tcMar>
              <w:bottom w:w="0" w:type="dxa"/>
            </w:tcMar>
            <w:vAlign w:val="center"/>
          </w:tcPr>
          <w:p>
            <w:pPr>
              <w:pStyle w:val="TableContents"/>
              <w:bidi w:val="0"/>
              <w:spacing w:before="0" w:after="283"/>
              <w:jc w:val="right"/>
              <w:rPr/>
            </w:pPr>
            <w:r>
              <w:rPr/>
              <w:t> </w:t>
            </w:r>
            <w:r>
              <w:rPr>
                <w:sz w:val="20"/>
              </w:rPr>
              <w:t xml:space="preserve">13,337 </w:t>
            </w:r>
          </w:p>
        </w:tc>
        <w:tc>
          <w:tcPr>
            <w:tcW w:w="830" w:type="dxa"/>
            <w:tcBorders/>
            <w:shd w:fill="FFFFFF" w:val="clear"/>
            <w:tcMar>
              <w:bottom w:w="0" w:type="dxa"/>
            </w:tcMar>
            <w:vAlign w:val="center"/>
          </w:tcPr>
          <w:p>
            <w:pPr>
              <w:pStyle w:val="TableContents"/>
              <w:bidi w:val="0"/>
              <w:spacing w:before="0" w:after="283"/>
              <w:jc w:val="right"/>
              <w:rPr/>
            </w:pPr>
            <w:r>
              <w:rPr/>
              <w:t> </w:t>
            </w:r>
            <w:r>
              <w:rPr>
                <w:sz w:val="20"/>
              </w:rPr>
              <w:t xml:space="preserve">406 </w:t>
            </w:r>
          </w:p>
        </w:tc>
        <w:tc>
          <w:tcPr>
            <w:tcW w:w="120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pPr>
            <w:r>
              <w:rPr/>
              <w:t> </w:t>
            </w:r>
            <w:r>
              <w:rPr>
                <w:sz w:val="20"/>
              </w:rPr>
              <w:t xml:space="preserve">207 </w:t>
            </w:r>
          </w:p>
        </w:tc>
        <w:tc>
          <w:tcPr>
            <w:tcW w:w="905" w:type="dxa"/>
            <w:tcBorders/>
            <w:shd w:fill="FFFFFF" w:val="clear"/>
            <w:tcMar>
              <w:bottom w:w="0" w:type="dxa"/>
            </w:tcMar>
            <w:vAlign w:val="center"/>
          </w:tcPr>
          <w:p>
            <w:pPr>
              <w:pStyle w:val="TableContents"/>
              <w:bidi w:val="0"/>
              <w:spacing w:before="0" w:after="283"/>
              <w:jc w:val="right"/>
              <w:rPr/>
            </w:pPr>
            <w:r>
              <w:rPr/>
              <w:t> </w:t>
            </w:r>
            <w:r>
              <w:rPr>
                <w:sz w:val="20"/>
              </w:rPr>
              <w:t xml:space="preserve">13,950 </w:t>
            </w:r>
          </w:p>
        </w:tc>
      </w:tr>
      <w:tr>
        <w:trPr/>
        <w:tc>
          <w:tcPr>
            <w:tcW w:w="3710" w:type="dxa"/>
            <w:tcBorders/>
            <w:shd w:fill="D5EAEA" w:val="clear"/>
            <w:tcMar>
              <w:bottom w:w="0" w:type="dxa"/>
            </w:tcMar>
            <w:vAlign w:val="center"/>
          </w:tcPr>
          <w:p>
            <w:pPr>
              <w:pStyle w:val="TableContents"/>
              <w:bidi w:val="0"/>
              <w:spacing w:before="0" w:after="283"/>
              <w:jc w:val="left"/>
              <w:rPr>
                <w:sz w:val="20"/>
              </w:rPr>
            </w:pPr>
            <w:r>
              <w:rPr>
                <w:sz w:val="20"/>
              </w:rPr>
              <w:t>Brands (c)</w:t>
            </w:r>
          </w:p>
        </w:tc>
        <w:tc>
          <w:tcPr>
            <w:tcW w:w="815" w:type="dxa"/>
            <w:tcBorders/>
            <w:shd w:fill="D5EAEA" w:val="clear"/>
            <w:tcMar>
              <w:bottom w:w="0" w:type="dxa"/>
            </w:tcMar>
            <w:vAlign w:val="center"/>
          </w:tcPr>
          <w:p>
            <w:pPr>
              <w:pStyle w:val="TableContents"/>
              <w:bidi w:val="0"/>
              <w:spacing w:before="0" w:after="283"/>
              <w:jc w:val="right"/>
              <w:rPr/>
            </w:pPr>
            <w:r>
              <w:rPr/>
              <w:t> </w:t>
            </w:r>
            <w:r>
              <w:rPr>
                <w:sz w:val="20"/>
              </w:rPr>
              <w:t xml:space="preserve">19,395 </w:t>
            </w:r>
          </w:p>
        </w:tc>
        <w:tc>
          <w:tcPr>
            <w:tcW w:w="830" w:type="dxa"/>
            <w:tcBorders/>
            <w:shd w:fill="D5EAEA" w:val="clear"/>
            <w:tcMar>
              <w:bottom w:w="0" w:type="dxa"/>
            </w:tcMar>
            <w:vAlign w:val="center"/>
          </w:tcPr>
          <w:p>
            <w:pPr>
              <w:pStyle w:val="TableContents"/>
              <w:bidi w:val="0"/>
              <w:spacing w:before="0" w:after="283"/>
              <w:jc w:val="right"/>
              <w:rPr/>
            </w:pPr>
            <w:r>
              <w:rPr/>
              <w:t> </w:t>
            </w:r>
            <w:r>
              <w:rPr>
                <w:sz w:val="20"/>
              </w:rPr>
              <w:t xml:space="preserve">- </w:t>
            </w:r>
          </w:p>
        </w:tc>
        <w:tc>
          <w:tcPr>
            <w:tcW w:w="1205" w:type="dxa"/>
            <w:tcBorders/>
            <w:shd w:fill="D5EAEA" w:val="clear"/>
            <w:tcMar>
              <w:bottom w:w="0" w:type="dxa"/>
            </w:tcMar>
            <w:vAlign w:val="center"/>
          </w:tcPr>
          <w:p>
            <w:pPr>
              <w:pStyle w:val="TableContents"/>
              <w:bidi w:val="0"/>
              <w:spacing w:before="0" w:after="283"/>
              <w:jc w:val="right"/>
              <w:rPr>
                <w:sz w:val="20"/>
              </w:rPr>
            </w:pPr>
            <w:r>
              <w:rPr>
                <w:sz w:val="20"/>
              </w:rPr>
              <w:t>-</w:t>
            </w:r>
          </w:p>
        </w:tc>
        <w:tc>
          <w:tcPr>
            <w:tcW w:w="695" w:type="dxa"/>
            <w:tcBorders/>
            <w:shd w:fill="D5EAEA" w:val="clear"/>
            <w:tcMar>
              <w:bottom w:w="0" w:type="dxa"/>
            </w:tcMar>
            <w:vAlign w:val="center"/>
          </w:tcPr>
          <w:p>
            <w:pPr>
              <w:pStyle w:val="TableContents"/>
              <w:bidi w:val="0"/>
              <w:spacing w:before="0" w:after="283"/>
              <w:jc w:val="right"/>
              <w:rPr/>
            </w:pPr>
            <w:r>
              <w:rPr/>
              <w:t> </w:t>
            </w:r>
            <w:r>
              <w:rPr>
                <w:sz w:val="20"/>
              </w:rPr>
              <w:t xml:space="preserve">139 </w:t>
            </w:r>
          </w:p>
        </w:tc>
        <w:tc>
          <w:tcPr>
            <w:tcW w:w="905" w:type="dxa"/>
            <w:tcBorders/>
            <w:shd w:fill="D5EAEA" w:val="clear"/>
            <w:tcMar>
              <w:bottom w:w="0" w:type="dxa"/>
            </w:tcMar>
            <w:vAlign w:val="center"/>
          </w:tcPr>
          <w:p>
            <w:pPr>
              <w:pStyle w:val="TableContents"/>
              <w:bidi w:val="0"/>
              <w:spacing w:before="0" w:after="283"/>
              <w:jc w:val="right"/>
              <w:rPr/>
            </w:pPr>
            <w:r>
              <w:rPr/>
              <w:t> </w:t>
            </w:r>
            <w:r>
              <w:rPr>
                <w:sz w:val="20"/>
              </w:rPr>
              <w:t>19,534 </w:t>
            </w:r>
          </w:p>
        </w:tc>
      </w:tr>
      <w:tr>
        <w:trPr/>
        <w:tc>
          <w:tcPr>
            <w:tcW w:w="3710" w:type="dxa"/>
            <w:tcBorders/>
            <w:shd w:fill="FFFFFF" w:val="clear"/>
            <w:tcMar>
              <w:bottom w:w="0" w:type="dxa"/>
            </w:tcMar>
            <w:vAlign w:val="center"/>
          </w:tcPr>
          <w:p>
            <w:pPr>
              <w:pStyle w:val="TableContents"/>
              <w:bidi w:val="0"/>
              <w:spacing w:before="0" w:after="283"/>
              <w:jc w:val="left"/>
              <w:rPr>
                <w:sz w:val="20"/>
              </w:rPr>
            </w:pPr>
            <w:r>
              <w:rPr>
                <w:sz w:val="20"/>
              </w:rPr>
              <w:t>Goodwill (d)</w:t>
            </w:r>
          </w:p>
        </w:tc>
        <w:tc>
          <w:tcPr>
            <w:tcW w:w="815" w:type="dxa"/>
            <w:tcBorders/>
            <w:shd w:fill="FFFFFF" w:val="clear"/>
            <w:tcMar>
              <w:bottom w:w="0" w:type="dxa"/>
            </w:tcMar>
            <w:vAlign w:val="center"/>
          </w:tcPr>
          <w:p>
            <w:pPr>
              <w:pStyle w:val="TableContents"/>
              <w:bidi w:val="0"/>
              <w:spacing w:before="0" w:after="283"/>
              <w:jc w:val="right"/>
              <w:rPr/>
            </w:pPr>
            <w:r>
              <w:rPr/>
              <w:t> </w:t>
            </w:r>
            <w:r>
              <w:rPr>
                <w:sz w:val="20"/>
              </w:rPr>
              <w:t xml:space="preserve">440,125 </w:t>
            </w:r>
          </w:p>
        </w:tc>
        <w:tc>
          <w:tcPr>
            <w:tcW w:w="830" w:type="dxa"/>
            <w:tcBorders/>
            <w:shd w:fill="FFFFFF" w:val="clear"/>
            <w:tcMar>
              <w:bottom w:w="0" w:type="dxa"/>
            </w:tcMar>
            <w:vAlign w:val="center"/>
          </w:tcPr>
          <w:p>
            <w:pPr>
              <w:pStyle w:val="TableContents"/>
              <w:bidi w:val="0"/>
              <w:spacing w:before="0" w:after="283"/>
              <w:jc w:val="right"/>
              <w:rPr/>
            </w:pPr>
            <w:r>
              <w:rPr/>
              <w:t> </w:t>
            </w:r>
            <w:r>
              <w:rPr>
                <w:sz w:val="20"/>
              </w:rPr>
              <w:t xml:space="preserve">- </w:t>
            </w:r>
          </w:p>
        </w:tc>
        <w:tc>
          <w:tcPr>
            <w:tcW w:w="1205" w:type="dxa"/>
            <w:tcBorders/>
            <w:shd w:fill="FFFFFF" w:val="clear"/>
            <w:tcMar>
              <w:bottom w:w="0" w:type="dxa"/>
            </w:tcMar>
            <w:vAlign w:val="center"/>
          </w:tcPr>
          <w:p>
            <w:pPr>
              <w:pStyle w:val="TableContents"/>
              <w:bidi w:val="0"/>
              <w:spacing w:before="0" w:after="283"/>
              <w:jc w:val="right"/>
              <w:rPr>
                <w:sz w:val="20"/>
              </w:rPr>
            </w:pPr>
            <w:r>
              <w:rPr>
                <w:sz w:val="20"/>
              </w:rPr>
              <w:t>42,615</w:t>
            </w:r>
          </w:p>
        </w:tc>
        <w:tc>
          <w:tcPr>
            <w:tcW w:w="695" w:type="dxa"/>
            <w:tcBorders/>
            <w:shd w:fill="FFFFFF" w:val="clear"/>
            <w:tcMar>
              <w:bottom w:w="0" w:type="dxa"/>
            </w:tcMar>
            <w:vAlign w:val="center"/>
          </w:tcPr>
          <w:p>
            <w:pPr>
              <w:pStyle w:val="TableContents"/>
              <w:bidi w:val="0"/>
              <w:spacing w:before="0" w:after="283"/>
              <w:jc w:val="right"/>
              <w:rPr/>
            </w:pPr>
            <w:r>
              <w:rPr/>
              <w:t> </w:t>
            </w:r>
            <w:r>
              <w:rPr>
                <w:sz w:val="20"/>
              </w:rPr>
              <w:t xml:space="preserve">4,326 </w:t>
            </w:r>
          </w:p>
        </w:tc>
        <w:tc>
          <w:tcPr>
            <w:tcW w:w="905" w:type="dxa"/>
            <w:tcBorders/>
            <w:shd w:fill="FFFFFF" w:val="clear"/>
            <w:tcMar>
              <w:bottom w:w="0" w:type="dxa"/>
            </w:tcMar>
            <w:vAlign w:val="center"/>
          </w:tcPr>
          <w:p>
            <w:pPr>
              <w:pStyle w:val="TableContents"/>
              <w:bidi w:val="0"/>
              <w:spacing w:before="0" w:after="283"/>
              <w:jc w:val="right"/>
              <w:rPr/>
            </w:pPr>
            <w:r>
              <w:rPr/>
              <w:t> </w:t>
            </w:r>
            <w:r>
              <w:rPr>
                <w:sz w:val="20"/>
              </w:rPr>
              <w:t xml:space="preserve">487,066 </w:t>
            </w:r>
          </w:p>
        </w:tc>
      </w:tr>
      <w:tr>
        <w:trPr/>
        <w:tc>
          <w:tcPr>
            <w:tcW w:w="3710" w:type="dxa"/>
            <w:tcBorders/>
            <w:shd w:fill="D5EAEA" w:val="clear"/>
            <w:tcMar>
              <w:bottom w:w="0" w:type="dxa"/>
            </w:tcMar>
            <w:vAlign w:val="center"/>
          </w:tcPr>
          <w:p>
            <w:pPr>
              <w:pStyle w:val="TableContents"/>
              <w:bidi w:val="0"/>
              <w:spacing w:before="0" w:after="283"/>
              <w:jc w:val="left"/>
              <w:rPr>
                <w:sz w:val="20"/>
              </w:rPr>
            </w:pPr>
            <w:r>
              <w:rPr>
                <w:sz w:val="20"/>
              </w:rPr>
              <w:t>Non-compete –GPMS &amp; Nexus</w:t>
            </w:r>
          </w:p>
        </w:tc>
        <w:tc>
          <w:tcPr>
            <w:tcW w:w="815" w:type="dxa"/>
            <w:tcBorders/>
            <w:shd w:fill="D5EAEA" w:val="clear"/>
            <w:tcMar>
              <w:bottom w:w="0" w:type="dxa"/>
            </w:tcMar>
            <w:vAlign w:val="center"/>
          </w:tcPr>
          <w:p>
            <w:pPr>
              <w:pStyle w:val="TableContents"/>
              <w:bidi w:val="0"/>
              <w:spacing w:before="0" w:after="283"/>
              <w:jc w:val="right"/>
              <w:rPr/>
            </w:pPr>
            <w:r>
              <w:rPr/>
              <w:t> </w:t>
            </w:r>
            <w:r>
              <w:rPr>
                <w:sz w:val="20"/>
              </w:rPr>
              <w:t xml:space="preserve">5,963 </w:t>
            </w:r>
          </w:p>
        </w:tc>
        <w:tc>
          <w:tcPr>
            <w:tcW w:w="830" w:type="dxa"/>
            <w:tcBorders/>
            <w:shd w:fill="D5EAEA" w:val="clear"/>
            <w:tcMar>
              <w:bottom w:w="0" w:type="dxa"/>
            </w:tcMar>
            <w:vAlign w:val="center"/>
          </w:tcPr>
          <w:p>
            <w:pPr>
              <w:pStyle w:val="TableContents"/>
              <w:bidi w:val="0"/>
              <w:spacing w:before="0" w:after="283"/>
              <w:jc w:val="right"/>
              <w:rPr/>
            </w:pPr>
            <w:r>
              <w:rPr/>
              <w:t> </w:t>
            </w:r>
            <w:r>
              <w:rPr>
                <w:sz w:val="20"/>
              </w:rPr>
              <w:t xml:space="preserve">- </w:t>
            </w:r>
          </w:p>
        </w:tc>
        <w:tc>
          <w:tcPr>
            <w:tcW w:w="1205" w:type="dxa"/>
            <w:tcBorders/>
            <w:shd w:fill="D5EAEA" w:val="clear"/>
            <w:tcMar>
              <w:bottom w:w="0" w:type="dxa"/>
            </w:tcMar>
            <w:vAlign w:val="center"/>
          </w:tcPr>
          <w:p>
            <w:pPr>
              <w:pStyle w:val="TableContents"/>
              <w:bidi w:val="0"/>
              <w:spacing w:before="0" w:after="283"/>
              <w:jc w:val="right"/>
              <w:rPr>
                <w:sz w:val="20"/>
              </w:rPr>
            </w:pPr>
            <w:r>
              <w:rPr>
                <w:sz w:val="20"/>
              </w:rPr>
              <w:t>-</w:t>
            </w:r>
          </w:p>
        </w:tc>
        <w:tc>
          <w:tcPr>
            <w:tcW w:w="695" w:type="dxa"/>
            <w:tcBorders/>
            <w:shd w:fill="D5EAEA" w:val="clear"/>
            <w:tcMar>
              <w:bottom w:w="0" w:type="dxa"/>
            </w:tcMar>
            <w:vAlign w:val="center"/>
          </w:tcPr>
          <w:p>
            <w:pPr>
              <w:pStyle w:val="TableContents"/>
              <w:bidi w:val="0"/>
              <w:spacing w:before="0" w:after="283"/>
              <w:jc w:val="right"/>
              <w:rPr/>
            </w:pPr>
            <w:r>
              <w:rPr/>
              <w:t> </w:t>
            </w:r>
            <w:r>
              <w:rPr>
                <w:sz w:val="20"/>
              </w:rPr>
              <w:t>56 </w:t>
            </w:r>
          </w:p>
        </w:tc>
        <w:tc>
          <w:tcPr>
            <w:tcW w:w="905" w:type="dxa"/>
            <w:tcBorders/>
            <w:shd w:fill="D5EAEA" w:val="clear"/>
            <w:tcMar>
              <w:bottom w:w="0" w:type="dxa"/>
            </w:tcMar>
            <w:vAlign w:val="center"/>
          </w:tcPr>
          <w:p>
            <w:pPr>
              <w:pStyle w:val="TableContents"/>
              <w:bidi w:val="0"/>
              <w:spacing w:before="0" w:after="283"/>
              <w:jc w:val="right"/>
              <w:rPr/>
            </w:pPr>
            <w:r>
              <w:rPr/>
              <w:t> </w:t>
            </w:r>
            <w:r>
              <w:rPr>
                <w:sz w:val="20"/>
              </w:rPr>
              <w:t xml:space="preserve">6,019 </w:t>
            </w:r>
          </w:p>
        </w:tc>
      </w:tr>
      <w:tr>
        <w:trPr/>
        <w:tc>
          <w:tcPr>
            <w:tcW w:w="3710" w:type="dxa"/>
            <w:tcBorders/>
            <w:shd w:fill="FFFFFF" w:val="clear"/>
            <w:tcMar>
              <w:bottom w:w="0" w:type="dxa"/>
            </w:tcMar>
            <w:vAlign w:val="center"/>
          </w:tcPr>
          <w:p>
            <w:pPr>
              <w:pStyle w:val="TableContents"/>
              <w:bidi w:val="0"/>
              <w:spacing w:before="0" w:after="283"/>
              <w:jc w:val="left"/>
              <w:rPr>
                <w:sz w:val="20"/>
              </w:rPr>
            </w:pPr>
            <w:r>
              <w:rPr>
                <w:sz w:val="20"/>
              </w:rPr>
              <w:t>Other</w:t>
            </w:r>
          </w:p>
        </w:tc>
        <w:tc>
          <w:tcPr>
            <w:tcW w:w="815" w:type="dxa"/>
            <w:tcBorders>
              <w:bottom w:val="single" w:sz="8" w:space="0" w:color="000000"/>
            </w:tcBorders>
            <w:shd w:fill="FFFFFF" w:val="clear"/>
            <w:vAlign w:val="center"/>
          </w:tcPr>
          <w:p>
            <w:pPr>
              <w:pStyle w:val="TableContents"/>
              <w:bidi w:val="0"/>
              <w:spacing w:before="0" w:after="283"/>
              <w:jc w:val="right"/>
              <w:rPr>
                <w:sz w:val="20"/>
              </w:rPr>
            </w:pPr>
            <w:r>
              <w:rPr>
                <w:sz w:val="20"/>
              </w:rPr>
              <w:t>88 </w:t>
            </w:r>
          </w:p>
        </w:tc>
        <w:tc>
          <w:tcPr>
            <w:tcW w:w="830"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1205"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695" w:type="dxa"/>
            <w:tcBorders>
              <w:bottom w:val="single" w:sz="8" w:space="0" w:color="000000"/>
            </w:tcBorders>
            <w:shd w:fill="FFFFFF" w:val="clear"/>
            <w:vAlign w:val="center"/>
          </w:tcPr>
          <w:p>
            <w:pPr>
              <w:pStyle w:val="TableContents"/>
              <w:bidi w:val="0"/>
              <w:spacing w:before="0" w:after="283"/>
              <w:jc w:val="right"/>
              <w:rPr>
                <w:sz w:val="20"/>
              </w:rPr>
            </w:pPr>
            <w:r>
              <w:rPr>
                <w:sz w:val="20"/>
              </w:rPr>
              <w:t>6 </w:t>
            </w:r>
          </w:p>
        </w:tc>
        <w:tc>
          <w:tcPr>
            <w:tcW w:w="905" w:type="dxa"/>
            <w:tcBorders>
              <w:bottom w:val="single" w:sz="8" w:space="0" w:color="000000"/>
            </w:tcBorders>
            <w:shd w:fill="FFFFFF" w:val="clear"/>
            <w:vAlign w:val="center"/>
          </w:tcPr>
          <w:p>
            <w:pPr>
              <w:pStyle w:val="TableContents"/>
              <w:bidi w:val="0"/>
              <w:spacing w:before="0" w:after="283"/>
              <w:jc w:val="right"/>
              <w:rPr>
                <w:sz w:val="20"/>
              </w:rPr>
            </w:pPr>
            <w:r>
              <w:rPr>
                <w:sz w:val="20"/>
              </w:rPr>
              <w:t>94 </w:t>
            </w:r>
          </w:p>
        </w:tc>
      </w:tr>
      <w:tr>
        <w:trPr/>
        <w:tc>
          <w:tcPr>
            <w:tcW w:w="3710" w:type="dxa"/>
            <w:tcBorders>
              <w:top w:val="single" w:sz="8" w:space="0" w:color="000000"/>
              <w:bottom w:val="double" w:sz="6" w:space="0" w:color="000000"/>
            </w:tcBorders>
            <w:shd w:fill="D5EAEA" w:val="clear"/>
            <w:tcMar>
              <w:top w:w="28" w:type="dxa"/>
            </w:tcMar>
            <w:vAlign w:val="center"/>
          </w:tcPr>
          <w:p>
            <w:pPr>
              <w:pStyle w:val="TableContents"/>
              <w:bidi w:val="0"/>
              <w:spacing w:before="0" w:after="283"/>
              <w:jc w:val="left"/>
              <w:rPr>
                <w:b/>
                <w:sz w:val="20"/>
              </w:rPr>
            </w:pPr>
            <w:r>
              <w:rPr>
                <w:b/>
                <w:sz w:val="20"/>
              </w:rPr>
              <w:t>Total - Cost of intangible assets</w:t>
            </w:r>
          </w:p>
        </w:tc>
        <w:tc>
          <w:tcPr>
            <w:tcW w:w="815" w:type="dxa"/>
            <w:tcBorders>
              <w:bottom w:val="double" w:sz="6" w:space="0" w:color="000000"/>
            </w:tcBorders>
            <w:shd w:fill="D5EAEA" w:val="clear"/>
            <w:vAlign w:val="center"/>
          </w:tcPr>
          <w:p>
            <w:pPr>
              <w:pStyle w:val="TableContents"/>
              <w:bidi w:val="0"/>
              <w:spacing w:before="0" w:after="283"/>
              <w:jc w:val="right"/>
              <w:rPr>
                <w:b/>
                <w:sz w:val="20"/>
              </w:rPr>
            </w:pPr>
            <w:r>
              <w:rPr>
                <w:b/>
                <w:sz w:val="20"/>
              </w:rPr>
              <w:t xml:space="preserve">998,146 </w:t>
            </w:r>
          </w:p>
        </w:tc>
        <w:tc>
          <w:tcPr>
            <w:tcW w:w="830" w:type="dxa"/>
            <w:tcBorders>
              <w:bottom w:val="double" w:sz="6" w:space="0" w:color="000000"/>
            </w:tcBorders>
            <w:shd w:fill="D5EAEA" w:val="clear"/>
            <w:vAlign w:val="center"/>
          </w:tcPr>
          <w:p>
            <w:pPr>
              <w:pStyle w:val="TableContents"/>
              <w:bidi w:val="0"/>
              <w:spacing w:before="0" w:after="283"/>
              <w:jc w:val="right"/>
              <w:rPr>
                <w:b/>
                <w:sz w:val="20"/>
              </w:rPr>
            </w:pPr>
            <w:r>
              <w:rPr>
                <w:b/>
                <w:sz w:val="20"/>
              </w:rPr>
              <w:t>8,770</w:t>
            </w:r>
          </w:p>
        </w:tc>
        <w:tc>
          <w:tcPr>
            <w:tcW w:w="1205" w:type="dxa"/>
            <w:tcBorders>
              <w:bottom w:val="double" w:sz="6" w:space="0" w:color="000000"/>
            </w:tcBorders>
            <w:shd w:fill="D5EAEA" w:val="clear"/>
            <w:vAlign w:val="center"/>
          </w:tcPr>
          <w:p>
            <w:pPr>
              <w:pStyle w:val="TableContents"/>
              <w:bidi w:val="0"/>
              <w:spacing w:before="0" w:after="283"/>
              <w:jc w:val="right"/>
              <w:rPr>
                <w:b/>
                <w:sz w:val="20"/>
              </w:rPr>
            </w:pPr>
            <w:r>
              <w:rPr>
                <w:b/>
                <w:sz w:val="20"/>
              </w:rPr>
              <w:t>227,778</w:t>
            </w:r>
          </w:p>
        </w:tc>
        <w:tc>
          <w:tcPr>
            <w:tcW w:w="695" w:type="dxa"/>
            <w:tcBorders>
              <w:bottom w:val="double" w:sz="6" w:space="0" w:color="000000"/>
            </w:tcBorders>
            <w:shd w:fill="D5EAEA" w:val="clear"/>
            <w:vAlign w:val="center"/>
          </w:tcPr>
          <w:p>
            <w:pPr>
              <w:pStyle w:val="TableContents"/>
              <w:bidi w:val="0"/>
              <w:spacing w:before="0" w:after="283"/>
              <w:jc w:val="right"/>
              <w:rPr>
                <w:b/>
                <w:sz w:val="20"/>
              </w:rPr>
            </w:pPr>
            <w:r>
              <w:rPr>
                <w:b/>
                <w:sz w:val="20"/>
              </w:rPr>
              <w:t>21,748 </w:t>
            </w:r>
          </w:p>
        </w:tc>
        <w:tc>
          <w:tcPr>
            <w:tcW w:w="905" w:type="dxa"/>
            <w:tcBorders>
              <w:bottom w:val="double" w:sz="6" w:space="0" w:color="000000"/>
            </w:tcBorders>
            <w:shd w:fill="D5EAEA" w:val="clear"/>
            <w:vAlign w:val="center"/>
          </w:tcPr>
          <w:p>
            <w:pPr>
              <w:pStyle w:val="TableContents"/>
              <w:bidi w:val="0"/>
              <w:spacing w:before="0" w:after="283"/>
              <w:jc w:val="right"/>
              <w:rPr>
                <w:b/>
                <w:sz w:val="20"/>
              </w:rPr>
            </w:pPr>
            <w:r>
              <w:rPr>
                <w:b/>
                <w:sz w:val="20"/>
              </w:rPr>
              <w:t>1,256,442 </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r>
      <w:tr>
        <w:trPr/>
        <w:tc>
          <w:tcPr>
            <w:tcW w:w="3710" w:type="dxa"/>
            <w:tcBorders>
              <w:top w:val="single" w:sz="8" w:space="0" w:color="000000"/>
              <w:bottom w:val="single" w:sz="8" w:space="0" w:color="000000"/>
            </w:tcBorders>
            <w:shd w:fill="FFFFFF" w:val="clear"/>
            <w:tcMar>
              <w:top w:w="28" w:type="dxa"/>
            </w:tcMar>
            <w:vAlign w:val="center"/>
          </w:tcPr>
          <w:p>
            <w:pPr>
              <w:pStyle w:val="TableContents"/>
              <w:bidi w:val="0"/>
              <w:spacing w:before="0" w:after="283"/>
              <w:jc w:val="left"/>
              <w:rPr/>
            </w:pPr>
            <w:r>
              <w:rPr/>
              <w:t> </w:t>
            </w:r>
            <w:r>
              <w:rPr>
                <w:b/>
                <w:i/>
                <w:sz w:val="20"/>
              </w:rPr>
              <w:t>Changes in accumulated amortization</w:t>
            </w:r>
          </w:p>
        </w:tc>
        <w:tc>
          <w:tcPr>
            <w:tcW w:w="815" w:type="dxa"/>
            <w:tcBorders>
              <w:top w:val="single" w:sz="8" w:space="0" w:color="000000"/>
              <w:bottom w:val="single" w:sz="8" w:space="0" w:color="000000"/>
            </w:tcBorders>
            <w:shd w:fill="FFFFFF" w:val="clear"/>
            <w:tcMar>
              <w:top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Opening</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830" w:type="dxa"/>
            <w:tcBorders>
              <w:top w:val="single" w:sz="8" w:space="0" w:color="000000"/>
              <w:bottom w:val="single" w:sz="8" w:space="0" w:color="000000"/>
            </w:tcBorders>
            <w:shd w:fill="FFFFFF" w:val="clear"/>
            <w:tcMar>
              <w:top w:w="28" w:type="dxa"/>
            </w:tcMar>
            <w:vAlign w:val="center"/>
          </w:tcPr>
          <w:p>
            <w:pPr>
              <w:pStyle w:val="TableContents"/>
              <w:bidi w:val="0"/>
              <w:spacing w:before="0" w:after="283"/>
              <w:jc w:val="center"/>
              <w:rPr>
                <w:b/>
                <w:sz w:val="20"/>
              </w:rPr>
            </w:pPr>
            <w:r>
              <w:rPr>
                <w:b/>
                <w:sz w:val="20"/>
              </w:rPr>
              <w:t>Additions</w:t>
            </w:r>
          </w:p>
        </w:tc>
        <w:tc>
          <w:tcPr>
            <w:tcW w:w="1205" w:type="dxa"/>
            <w:tcBorders>
              <w:top w:val="single" w:sz="8" w:space="0" w:color="000000"/>
              <w:bottom w:val="single" w:sz="8" w:space="0" w:color="000000"/>
            </w:tcBorders>
            <w:shd w:fill="FFFFFF" w:val="clear"/>
            <w:tcMar>
              <w:top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combinations</w:t>
            </w:r>
            <w:r>
              <w:rPr>
                <w:rFonts w:ascii="Times New Roman;Times;Serif" w:hAnsi="Times New Roman;Times;Serif"/>
                <w:b w:val="false"/>
                <w:i w:val="false"/>
                <w:caps w:val="false"/>
                <w:smallCaps w:val="false"/>
                <w:sz w:val="20"/>
              </w:rPr>
              <w:t> </w:t>
            </w:r>
          </w:p>
        </w:tc>
        <w:tc>
          <w:tcPr>
            <w:tcW w:w="695" w:type="dxa"/>
            <w:tcBorders>
              <w:top w:val="single" w:sz="8" w:space="0" w:color="000000"/>
              <w:bottom w:val="single" w:sz="8" w:space="0" w:color="000000"/>
            </w:tcBorders>
            <w:shd w:fill="FFFFFF" w:val="clear"/>
            <w:tcMar>
              <w:top w:w="28" w:type="dxa"/>
            </w:tcMar>
            <w:vAlign w:val="center"/>
          </w:tcPr>
          <w:p>
            <w:pPr>
              <w:pStyle w:val="TableContents"/>
              <w:bidi w:val="0"/>
              <w:spacing w:before="0" w:after="283"/>
              <w:jc w:val="center"/>
              <w:rPr>
                <w:b/>
                <w:sz w:val="20"/>
              </w:rPr>
            </w:pPr>
            <w:r>
              <w:rPr>
                <w:b/>
                <w:sz w:val="20"/>
              </w:rPr>
              <w:t>CTA</w:t>
            </w:r>
            <w:r>
              <w:rPr>
                <w:b/>
                <w:position w:val="7"/>
                <w:sz w:val="16"/>
                <w:sz w:val="20"/>
              </w:rPr>
              <w:t>(*)</w:t>
            </w:r>
          </w:p>
        </w:tc>
        <w:tc>
          <w:tcPr>
            <w:tcW w:w="905" w:type="dxa"/>
            <w:tcBorders>
              <w:top w:val="single" w:sz="8" w:space="0" w:color="000000"/>
              <w:bottom w:val="single" w:sz="8" w:space="0" w:color="000000"/>
            </w:tcBorders>
            <w:shd w:fill="FFFFFF" w:val="clear"/>
            <w:tcMar>
              <w:top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Balance</w:t>
            </w:r>
            <w:r>
              <w:rPr>
                <w:rFonts w:ascii="Times New Roman;Times;Serif" w:hAnsi="Times New Roman;Times;Serif"/>
                <w:b w:val="false"/>
                <w:i w:val="false"/>
                <w:caps w:val="false"/>
                <w:smallCaps w:val="false"/>
                <w:sz w:val="20"/>
              </w:rPr>
              <w:t> </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r>
      <w:tr>
        <w:trPr/>
        <w:tc>
          <w:tcPr>
            <w:tcW w:w="3710" w:type="dxa"/>
            <w:tcBorders/>
            <w:shd w:fill="D5EAEA" w:val="clear"/>
            <w:tcMar>
              <w:bottom w:w="0" w:type="dxa"/>
            </w:tcMar>
            <w:vAlign w:val="center"/>
          </w:tcPr>
          <w:p>
            <w:pPr>
              <w:pStyle w:val="TableContents"/>
              <w:bidi w:val="0"/>
              <w:spacing w:before="0" w:after="283"/>
              <w:jc w:val="left"/>
              <w:rPr>
                <w:sz w:val="20"/>
              </w:rPr>
            </w:pPr>
            <w:r>
              <w:rPr>
                <w:sz w:val="20"/>
              </w:rPr>
              <w:t xml:space="preserve">(-) Placement agents (a) </w:t>
            </w:r>
          </w:p>
        </w:tc>
        <w:tc>
          <w:tcPr>
            <w:tcW w:w="815" w:type="dxa"/>
            <w:tcBorders/>
            <w:shd w:fill="D5EAEA" w:val="clear"/>
            <w:tcMar>
              <w:bottom w:w="0" w:type="dxa"/>
            </w:tcMar>
            <w:vAlign w:val="center"/>
          </w:tcPr>
          <w:p>
            <w:pPr>
              <w:pStyle w:val="TableContents"/>
              <w:bidi w:val="0"/>
              <w:spacing w:before="0" w:after="283"/>
              <w:jc w:val="right"/>
              <w:rPr/>
            </w:pPr>
            <w:r>
              <w:rPr/>
              <w:t> </w:t>
            </w:r>
            <w:r>
              <w:rPr>
                <w:sz w:val="20"/>
              </w:rPr>
              <w:t>(36,481)</w:t>
            </w:r>
          </w:p>
        </w:tc>
        <w:tc>
          <w:tcPr>
            <w:tcW w:w="830" w:type="dxa"/>
            <w:tcBorders/>
            <w:shd w:fill="D5EAEA" w:val="clear"/>
            <w:tcMar>
              <w:bottom w:w="0" w:type="dxa"/>
            </w:tcMar>
            <w:vAlign w:val="center"/>
          </w:tcPr>
          <w:p>
            <w:pPr>
              <w:pStyle w:val="TableContents"/>
              <w:bidi w:val="0"/>
              <w:spacing w:before="0" w:after="283"/>
              <w:jc w:val="right"/>
              <w:rPr/>
            </w:pPr>
            <w:r>
              <w:rPr/>
              <w:t> </w:t>
            </w:r>
            <w:r>
              <w:rPr>
                <w:sz w:val="20"/>
              </w:rPr>
              <w:t>(1,118)</w:t>
            </w:r>
          </w:p>
        </w:tc>
        <w:tc>
          <w:tcPr>
            <w:tcW w:w="1205" w:type="dxa"/>
            <w:tcBorders/>
            <w:shd w:fill="D5EAEA" w:val="clear"/>
            <w:tcMar>
              <w:bottom w:w="0" w:type="dxa"/>
            </w:tcMar>
            <w:vAlign w:val="center"/>
          </w:tcPr>
          <w:p>
            <w:pPr>
              <w:pStyle w:val="TableContents"/>
              <w:bidi w:val="0"/>
              <w:spacing w:before="0" w:after="283"/>
              <w:jc w:val="right"/>
              <w:rPr/>
            </w:pPr>
            <w:r>
              <w:rPr/>
              <w:t> </w:t>
            </w:r>
            <w:r>
              <w:rPr>
                <w:sz w:val="20"/>
              </w:rPr>
              <w:t xml:space="preserve">- </w:t>
            </w:r>
          </w:p>
        </w:tc>
        <w:tc>
          <w:tcPr>
            <w:tcW w:w="695" w:type="dxa"/>
            <w:tcBorders/>
            <w:shd w:fill="D5EAEA" w:val="clear"/>
            <w:tcMar>
              <w:bottom w:w="0" w:type="dxa"/>
            </w:tcMar>
            <w:vAlign w:val="center"/>
          </w:tcPr>
          <w:p>
            <w:pPr>
              <w:pStyle w:val="TableContents"/>
              <w:bidi w:val="0"/>
              <w:spacing w:before="0" w:after="283"/>
              <w:jc w:val="right"/>
              <w:rPr/>
            </w:pPr>
            <w:r>
              <w:rPr/>
              <w:t> </w:t>
            </w:r>
            <w:r>
              <w:rPr>
                <w:sz w:val="20"/>
              </w:rPr>
              <w:t>(298)</w:t>
            </w:r>
          </w:p>
        </w:tc>
        <w:tc>
          <w:tcPr>
            <w:tcW w:w="905" w:type="dxa"/>
            <w:tcBorders/>
            <w:shd w:fill="D5EAEA" w:val="clear"/>
            <w:tcMar>
              <w:bottom w:w="0" w:type="dxa"/>
            </w:tcMar>
            <w:vAlign w:val="center"/>
          </w:tcPr>
          <w:p>
            <w:pPr>
              <w:pStyle w:val="TableContents"/>
              <w:bidi w:val="0"/>
              <w:spacing w:before="0" w:after="283"/>
              <w:jc w:val="right"/>
              <w:rPr/>
            </w:pPr>
            <w:r>
              <w:rPr/>
              <w:t> </w:t>
            </w:r>
            <w:r>
              <w:rPr>
                <w:sz w:val="20"/>
              </w:rPr>
              <w:t>(37,897)</w:t>
            </w:r>
          </w:p>
        </w:tc>
      </w:tr>
      <w:tr>
        <w:trPr/>
        <w:tc>
          <w:tcPr>
            <w:tcW w:w="3710" w:type="dxa"/>
            <w:tcBorders/>
            <w:shd w:fill="FFFFFF" w:val="clear"/>
            <w:tcMar>
              <w:bottom w:w="0" w:type="dxa"/>
            </w:tcMar>
            <w:vAlign w:val="center"/>
          </w:tcPr>
          <w:p>
            <w:pPr>
              <w:pStyle w:val="TableContents"/>
              <w:bidi w:val="0"/>
              <w:spacing w:before="0" w:after="283"/>
              <w:jc w:val="left"/>
              <w:rPr>
                <w:sz w:val="20"/>
              </w:rPr>
            </w:pPr>
            <w:r>
              <w:rPr>
                <w:sz w:val="20"/>
              </w:rPr>
              <w:t xml:space="preserve">(-) Contractual rights (b) </w:t>
            </w:r>
          </w:p>
        </w:tc>
        <w:tc>
          <w:tcPr>
            <w:tcW w:w="815" w:type="dxa"/>
            <w:tcBorders/>
            <w:shd w:fill="FFFFFF" w:val="clear"/>
            <w:tcMar>
              <w:bottom w:w="0" w:type="dxa"/>
            </w:tcMar>
            <w:vAlign w:val="center"/>
          </w:tcPr>
          <w:p>
            <w:pPr>
              <w:pStyle w:val="TableContents"/>
              <w:bidi w:val="0"/>
              <w:spacing w:before="0" w:after="283"/>
              <w:jc w:val="right"/>
              <w:rPr/>
            </w:pPr>
            <w:r>
              <w:rPr/>
              <w:t> </w:t>
            </w:r>
            <w:r>
              <w:rPr>
                <w:sz w:val="20"/>
              </w:rPr>
              <w:t>(61,972)</w:t>
            </w:r>
          </w:p>
        </w:tc>
        <w:tc>
          <w:tcPr>
            <w:tcW w:w="830" w:type="dxa"/>
            <w:tcBorders/>
            <w:shd w:fill="FFFFFF" w:val="clear"/>
            <w:tcMar>
              <w:bottom w:w="0" w:type="dxa"/>
            </w:tcMar>
            <w:vAlign w:val="center"/>
          </w:tcPr>
          <w:p>
            <w:pPr>
              <w:pStyle w:val="TableContents"/>
              <w:bidi w:val="0"/>
              <w:spacing w:before="0" w:after="283"/>
              <w:jc w:val="right"/>
              <w:rPr/>
            </w:pPr>
            <w:r>
              <w:rPr/>
              <w:t> </w:t>
            </w:r>
            <w:r>
              <w:rPr>
                <w:sz w:val="20"/>
              </w:rPr>
              <w:t>(9,982)</w:t>
            </w:r>
          </w:p>
        </w:tc>
        <w:tc>
          <w:tcPr>
            <w:tcW w:w="1205" w:type="dxa"/>
            <w:tcBorders/>
            <w:shd w:fill="FFFFFF" w:val="clear"/>
            <w:tcMar>
              <w:bottom w:w="0" w:type="dxa"/>
            </w:tcMar>
            <w:vAlign w:val="center"/>
          </w:tcPr>
          <w:p>
            <w:pPr>
              <w:pStyle w:val="TableContents"/>
              <w:bidi w:val="0"/>
              <w:spacing w:before="0" w:after="283"/>
              <w:jc w:val="right"/>
              <w:rPr/>
            </w:pPr>
            <w:r>
              <w:rPr/>
              <w:t> </w:t>
            </w:r>
            <w:r>
              <w:rPr>
                <w:sz w:val="20"/>
              </w:rPr>
              <w:t xml:space="preserve">- </w:t>
            </w:r>
          </w:p>
        </w:tc>
        <w:tc>
          <w:tcPr>
            <w:tcW w:w="695" w:type="dxa"/>
            <w:tcBorders/>
            <w:shd w:fill="FFFFFF" w:val="clear"/>
            <w:tcMar>
              <w:bottom w:w="0" w:type="dxa"/>
            </w:tcMar>
            <w:vAlign w:val="center"/>
          </w:tcPr>
          <w:p>
            <w:pPr>
              <w:pStyle w:val="TableContents"/>
              <w:bidi w:val="0"/>
              <w:spacing w:before="0" w:after="283"/>
              <w:jc w:val="right"/>
              <w:rPr/>
            </w:pPr>
            <w:r>
              <w:rPr/>
              <w:t> </w:t>
            </w:r>
            <w:r>
              <w:rPr>
                <w:sz w:val="20"/>
              </w:rPr>
              <w:t>6,148</w:t>
            </w:r>
          </w:p>
        </w:tc>
        <w:tc>
          <w:tcPr>
            <w:tcW w:w="905" w:type="dxa"/>
            <w:tcBorders/>
            <w:shd w:fill="FFFFFF" w:val="clear"/>
            <w:tcMar>
              <w:bottom w:w="0" w:type="dxa"/>
            </w:tcMar>
            <w:vAlign w:val="center"/>
          </w:tcPr>
          <w:p>
            <w:pPr>
              <w:pStyle w:val="TableContents"/>
              <w:bidi w:val="0"/>
              <w:spacing w:before="0" w:after="283"/>
              <w:jc w:val="right"/>
              <w:rPr/>
            </w:pPr>
            <w:r>
              <w:rPr/>
              <w:t> </w:t>
            </w:r>
            <w:r>
              <w:rPr>
                <w:sz w:val="20"/>
              </w:rPr>
              <w:t>(65,806)</w:t>
            </w:r>
          </w:p>
        </w:tc>
      </w:tr>
      <w:tr>
        <w:trPr/>
        <w:tc>
          <w:tcPr>
            <w:tcW w:w="3710" w:type="dxa"/>
            <w:tcBorders/>
            <w:shd w:fill="D5EAEA" w:val="clear"/>
            <w:tcMar>
              <w:bottom w:w="0" w:type="dxa"/>
            </w:tcMar>
            <w:vAlign w:val="center"/>
          </w:tcPr>
          <w:p>
            <w:pPr>
              <w:pStyle w:val="TableContents"/>
              <w:bidi w:val="0"/>
              <w:spacing w:before="0" w:after="283"/>
              <w:jc w:val="left"/>
              <w:rPr>
                <w:sz w:val="20"/>
              </w:rPr>
            </w:pPr>
            <w:r>
              <w:rPr>
                <w:sz w:val="20"/>
              </w:rPr>
              <w:t>(-) Non-contractual customer relationships (c)</w:t>
            </w:r>
          </w:p>
        </w:tc>
        <w:tc>
          <w:tcPr>
            <w:tcW w:w="815" w:type="dxa"/>
            <w:tcBorders/>
            <w:shd w:fill="D5EAEA" w:val="clear"/>
            <w:tcMar>
              <w:bottom w:w="0" w:type="dxa"/>
            </w:tcMar>
            <w:vAlign w:val="center"/>
          </w:tcPr>
          <w:p>
            <w:pPr>
              <w:pStyle w:val="TableContents"/>
              <w:bidi w:val="0"/>
              <w:spacing w:before="0" w:after="283"/>
              <w:jc w:val="right"/>
              <w:rPr/>
            </w:pPr>
            <w:r>
              <w:rPr/>
              <w:t> </w:t>
            </w:r>
            <w:r>
              <w:rPr>
                <w:sz w:val="20"/>
              </w:rPr>
              <w:t>(52,535)</w:t>
            </w:r>
          </w:p>
        </w:tc>
        <w:tc>
          <w:tcPr>
            <w:tcW w:w="830" w:type="dxa"/>
            <w:tcBorders/>
            <w:shd w:fill="D5EAEA" w:val="clear"/>
            <w:tcMar>
              <w:bottom w:w="0" w:type="dxa"/>
            </w:tcMar>
            <w:vAlign w:val="center"/>
          </w:tcPr>
          <w:p>
            <w:pPr>
              <w:pStyle w:val="TableContents"/>
              <w:bidi w:val="0"/>
              <w:spacing w:before="0" w:after="283"/>
              <w:jc w:val="right"/>
              <w:rPr/>
            </w:pPr>
            <w:r>
              <w:rPr/>
              <w:t> </w:t>
            </w:r>
            <w:r>
              <w:rPr>
                <w:sz w:val="20"/>
              </w:rPr>
              <w:t>(7,277)</w:t>
            </w:r>
          </w:p>
        </w:tc>
        <w:tc>
          <w:tcPr>
            <w:tcW w:w="1205" w:type="dxa"/>
            <w:tcBorders/>
            <w:shd w:fill="D5EAEA" w:val="clear"/>
            <w:tcMar>
              <w:bottom w:w="0" w:type="dxa"/>
            </w:tcMar>
            <w:vAlign w:val="center"/>
          </w:tcPr>
          <w:p>
            <w:pPr>
              <w:pStyle w:val="TableContents"/>
              <w:bidi w:val="0"/>
              <w:spacing w:before="0" w:after="283"/>
              <w:jc w:val="right"/>
              <w:rPr/>
            </w:pPr>
            <w:r>
              <w:rPr/>
              <w:t> </w:t>
            </w:r>
            <w:r>
              <w:rPr>
                <w:sz w:val="20"/>
              </w:rPr>
              <w:t xml:space="preserve">- </w:t>
            </w:r>
          </w:p>
        </w:tc>
        <w:tc>
          <w:tcPr>
            <w:tcW w:w="695" w:type="dxa"/>
            <w:tcBorders/>
            <w:shd w:fill="D5EAEA" w:val="clear"/>
            <w:tcMar>
              <w:bottom w:w="0" w:type="dxa"/>
            </w:tcMar>
            <w:vAlign w:val="center"/>
          </w:tcPr>
          <w:p>
            <w:pPr>
              <w:pStyle w:val="TableContents"/>
              <w:bidi w:val="0"/>
              <w:spacing w:before="0" w:after="283"/>
              <w:jc w:val="right"/>
              <w:rPr/>
            </w:pPr>
            <w:r>
              <w:rPr/>
              <w:t> </w:t>
            </w:r>
            <w:r>
              <w:rPr>
                <w:sz w:val="20"/>
              </w:rPr>
              <w:t>(2,154)</w:t>
            </w:r>
          </w:p>
        </w:tc>
        <w:tc>
          <w:tcPr>
            <w:tcW w:w="905" w:type="dxa"/>
            <w:tcBorders/>
            <w:shd w:fill="D5EAEA" w:val="clear"/>
            <w:tcMar>
              <w:bottom w:w="0" w:type="dxa"/>
            </w:tcMar>
            <w:vAlign w:val="center"/>
          </w:tcPr>
          <w:p>
            <w:pPr>
              <w:pStyle w:val="TableContents"/>
              <w:bidi w:val="0"/>
              <w:spacing w:before="0" w:after="283"/>
              <w:jc w:val="right"/>
              <w:rPr/>
            </w:pPr>
            <w:r>
              <w:rPr/>
              <w:t> </w:t>
            </w:r>
            <w:r>
              <w:rPr>
                <w:sz w:val="20"/>
              </w:rPr>
              <w:t>(61,966)</w:t>
            </w:r>
          </w:p>
        </w:tc>
      </w:tr>
      <w:tr>
        <w:trPr/>
        <w:tc>
          <w:tcPr>
            <w:tcW w:w="3710" w:type="dxa"/>
            <w:tcBorders/>
            <w:shd w:fill="FFFFFF" w:val="clear"/>
            <w:tcMar>
              <w:bottom w:w="0" w:type="dxa"/>
            </w:tcMar>
            <w:vAlign w:val="center"/>
          </w:tcPr>
          <w:p>
            <w:pPr>
              <w:pStyle w:val="TableContents"/>
              <w:bidi w:val="0"/>
              <w:spacing w:before="0" w:after="283"/>
              <w:jc w:val="left"/>
              <w:rPr>
                <w:sz w:val="20"/>
              </w:rPr>
            </w:pPr>
            <w:r>
              <w:rPr>
                <w:sz w:val="20"/>
              </w:rPr>
              <w:t xml:space="preserve">(-) Software </w:t>
            </w:r>
          </w:p>
        </w:tc>
        <w:tc>
          <w:tcPr>
            <w:tcW w:w="815" w:type="dxa"/>
            <w:tcBorders/>
            <w:shd w:fill="FFFFFF" w:val="clear"/>
            <w:tcMar>
              <w:bottom w:w="0" w:type="dxa"/>
            </w:tcMar>
            <w:vAlign w:val="center"/>
          </w:tcPr>
          <w:p>
            <w:pPr>
              <w:pStyle w:val="TableContents"/>
              <w:bidi w:val="0"/>
              <w:spacing w:before="0" w:after="283"/>
              <w:jc w:val="right"/>
              <w:rPr/>
            </w:pPr>
            <w:r>
              <w:rPr/>
              <w:t> </w:t>
            </w:r>
            <w:r>
              <w:rPr>
                <w:sz w:val="20"/>
              </w:rPr>
              <w:t>(5,703)</w:t>
            </w:r>
          </w:p>
        </w:tc>
        <w:tc>
          <w:tcPr>
            <w:tcW w:w="830" w:type="dxa"/>
            <w:tcBorders/>
            <w:shd w:fill="FFFFFF" w:val="clear"/>
            <w:tcMar>
              <w:bottom w:w="0" w:type="dxa"/>
            </w:tcMar>
            <w:vAlign w:val="center"/>
          </w:tcPr>
          <w:p>
            <w:pPr>
              <w:pStyle w:val="TableContents"/>
              <w:bidi w:val="0"/>
              <w:spacing w:before="0" w:after="283"/>
              <w:jc w:val="right"/>
              <w:rPr/>
            </w:pPr>
            <w:r>
              <w:rPr/>
              <w:t> </w:t>
            </w:r>
            <w:r>
              <w:rPr>
                <w:sz w:val="20"/>
              </w:rPr>
              <w:t>(1,086)</w:t>
            </w:r>
          </w:p>
        </w:tc>
        <w:tc>
          <w:tcPr>
            <w:tcW w:w="1205" w:type="dxa"/>
            <w:tcBorders/>
            <w:shd w:fill="FFFFFF" w:val="clear"/>
            <w:tcMar>
              <w:bottom w:w="0" w:type="dxa"/>
            </w:tcMar>
            <w:vAlign w:val="center"/>
          </w:tcPr>
          <w:p>
            <w:pPr>
              <w:pStyle w:val="TableContents"/>
              <w:bidi w:val="0"/>
              <w:spacing w:before="0" w:after="283"/>
              <w:jc w:val="right"/>
              <w:rPr/>
            </w:pPr>
            <w:r>
              <w:rPr/>
              <w:t> </w:t>
            </w:r>
            <w:r>
              <w:rPr>
                <w:sz w:val="20"/>
              </w:rPr>
              <w:t xml:space="preserve">- </w:t>
            </w:r>
          </w:p>
        </w:tc>
        <w:tc>
          <w:tcPr>
            <w:tcW w:w="695" w:type="dxa"/>
            <w:tcBorders/>
            <w:shd w:fill="FFFFFF" w:val="clear"/>
            <w:tcMar>
              <w:bottom w:w="0" w:type="dxa"/>
            </w:tcMar>
            <w:vAlign w:val="center"/>
          </w:tcPr>
          <w:p>
            <w:pPr>
              <w:pStyle w:val="TableContents"/>
              <w:bidi w:val="0"/>
              <w:spacing w:before="0" w:after="283"/>
              <w:jc w:val="right"/>
              <w:rPr/>
            </w:pPr>
            <w:r>
              <w:rPr/>
              <w:t> </w:t>
            </w:r>
            <w:r>
              <w:rPr>
                <w:sz w:val="20"/>
              </w:rPr>
              <w:t>(649)</w:t>
            </w:r>
          </w:p>
        </w:tc>
        <w:tc>
          <w:tcPr>
            <w:tcW w:w="905" w:type="dxa"/>
            <w:tcBorders/>
            <w:shd w:fill="FFFFFF" w:val="clear"/>
            <w:tcMar>
              <w:bottom w:w="0" w:type="dxa"/>
            </w:tcMar>
            <w:vAlign w:val="center"/>
          </w:tcPr>
          <w:p>
            <w:pPr>
              <w:pStyle w:val="TableContents"/>
              <w:bidi w:val="0"/>
              <w:spacing w:before="0" w:after="283"/>
              <w:jc w:val="right"/>
              <w:rPr/>
            </w:pPr>
            <w:r>
              <w:rPr/>
              <w:t> </w:t>
            </w:r>
            <w:r>
              <w:rPr>
                <w:sz w:val="20"/>
              </w:rPr>
              <w:t>(7,438)</w:t>
            </w:r>
          </w:p>
        </w:tc>
      </w:tr>
      <w:tr>
        <w:trPr/>
        <w:tc>
          <w:tcPr>
            <w:tcW w:w="3710" w:type="dxa"/>
            <w:tcBorders/>
            <w:shd w:fill="D5EAEA" w:val="clear"/>
            <w:tcMar>
              <w:bottom w:w="0" w:type="dxa"/>
            </w:tcMar>
            <w:vAlign w:val="center"/>
          </w:tcPr>
          <w:p>
            <w:pPr>
              <w:pStyle w:val="TableContents"/>
              <w:bidi w:val="0"/>
              <w:spacing w:before="0" w:after="283"/>
              <w:jc w:val="left"/>
              <w:rPr>
                <w:sz w:val="20"/>
              </w:rPr>
            </w:pPr>
            <w:r>
              <w:rPr>
                <w:sz w:val="20"/>
              </w:rPr>
              <w:t>(-) Brands (c)</w:t>
            </w:r>
          </w:p>
        </w:tc>
        <w:tc>
          <w:tcPr>
            <w:tcW w:w="815" w:type="dxa"/>
            <w:tcBorders/>
            <w:shd w:fill="D5EAEA" w:val="clear"/>
            <w:tcMar>
              <w:bottom w:w="0" w:type="dxa"/>
            </w:tcMar>
            <w:vAlign w:val="center"/>
          </w:tcPr>
          <w:p>
            <w:pPr>
              <w:pStyle w:val="TableContents"/>
              <w:bidi w:val="0"/>
              <w:spacing w:before="0" w:after="283"/>
              <w:jc w:val="right"/>
              <w:rPr/>
            </w:pPr>
            <w:r>
              <w:rPr/>
              <w:t> </w:t>
            </w:r>
            <w:r>
              <w:rPr>
                <w:sz w:val="20"/>
              </w:rPr>
              <w:t>(14,148)</w:t>
            </w:r>
          </w:p>
        </w:tc>
        <w:tc>
          <w:tcPr>
            <w:tcW w:w="830" w:type="dxa"/>
            <w:tcBorders/>
            <w:shd w:fill="D5EAEA" w:val="clear"/>
            <w:tcMar>
              <w:bottom w:w="0" w:type="dxa"/>
            </w:tcMar>
            <w:vAlign w:val="center"/>
          </w:tcPr>
          <w:p>
            <w:pPr>
              <w:pStyle w:val="TableContents"/>
              <w:bidi w:val="0"/>
              <w:spacing w:before="0" w:after="283"/>
              <w:jc w:val="right"/>
              <w:rPr/>
            </w:pPr>
            <w:r>
              <w:rPr/>
              <w:t> </w:t>
            </w:r>
            <w:r>
              <w:rPr>
                <w:sz w:val="20"/>
              </w:rPr>
              <w:t>(1,921)</w:t>
            </w:r>
          </w:p>
        </w:tc>
        <w:tc>
          <w:tcPr>
            <w:tcW w:w="1205" w:type="dxa"/>
            <w:tcBorders/>
            <w:shd w:fill="D5EAEA" w:val="clear"/>
            <w:tcMar>
              <w:bottom w:w="0" w:type="dxa"/>
            </w:tcMar>
            <w:vAlign w:val="center"/>
          </w:tcPr>
          <w:p>
            <w:pPr>
              <w:pStyle w:val="TableContents"/>
              <w:bidi w:val="0"/>
              <w:spacing w:before="0" w:after="283"/>
              <w:jc w:val="right"/>
              <w:rPr/>
            </w:pPr>
            <w:r>
              <w:rPr/>
              <w:t> </w:t>
            </w:r>
            <w:r>
              <w:rPr>
                <w:sz w:val="20"/>
              </w:rPr>
              <w:t xml:space="preserve">- </w:t>
            </w:r>
          </w:p>
        </w:tc>
        <w:tc>
          <w:tcPr>
            <w:tcW w:w="695" w:type="dxa"/>
            <w:tcBorders/>
            <w:shd w:fill="D5EAEA" w:val="clear"/>
            <w:tcMar>
              <w:bottom w:w="0" w:type="dxa"/>
            </w:tcMar>
            <w:vAlign w:val="center"/>
          </w:tcPr>
          <w:p>
            <w:pPr>
              <w:pStyle w:val="TableContents"/>
              <w:bidi w:val="0"/>
              <w:spacing w:before="0" w:after="283"/>
              <w:jc w:val="right"/>
              <w:rPr/>
            </w:pPr>
            <w:r>
              <w:rPr/>
              <w:t> </w:t>
            </w:r>
            <w:r>
              <w:rPr>
                <w:sz w:val="20"/>
              </w:rPr>
              <w:t xml:space="preserve">119 </w:t>
            </w:r>
          </w:p>
        </w:tc>
        <w:tc>
          <w:tcPr>
            <w:tcW w:w="905" w:type="dxa"/>
            <w:tcBorders/>
            <w:shd w:fill="D5EAEA" w:val="clear"/>
            <w:tcMar>
              <w:bottom w:w="0" w:type="dxa"/>
            </w:tcMar>
            <w:vAlign w:val="center"/>
          </w:tcPr>
          <w:p>
            <w:pPr>
              <w:pStyle w:val="TableContents"/>
              <w:bidi w:val="0"/>
              <w:spacing w:before="0" w:after="283"/>
              <w:jc w:val="right"/>
              <w:rPr/>
            </w:pPr>
            <w:r>
              <w:rPr/>
              <w:t> </w:t>
            </w:r>
            <w:r>
              <w:rPr>
                <w:sz w:val="20"/>
              </w:rPr>
              <w:t>(15,950)</w:t>
            </w:r>
          </w:p>
        </w:tc>
      </w:tr>
      <w:tr>
        <w:trPr/>
        <w:tc>
          <w:tcPr>
            <w:tcW w:w="3710" w:type="dxa"/>
            <w:tcBorders/>
            <w:shd w:fill="FFFFFF" w:val="clear"/>
            <w:tcMar>
              <w:bottom w:w="0" w:type="dxa"/>
            </w:tcMar>
            <w:vAlign w:val="center"/>
          </w:tcPr>
          <w:p>
            <w:pPr>
              <w:pStyle w:val="TableContents"/>
              <w:bidi w:val="0"/>
              <w:spacing w:before="0" w:after="283"/>
              <w:jc w:val="left"/>
              <w:rPr>
                <w:sz w:val="20"/>
              </w:rPr>
            </w:pPr>
            <w:r>
              <w:rPr>
                <w:sz w:val="20"/>
              </w:rPr>
              <w:t xml:space="preserve">(-) Non-compete </w:t>
            </w:r>
          </w:p>
        </w:tc>
        <w:tc>
          <w:tcPr>
            <w:tcW w:w="815" w:type="dxa"/>
            <w:tcBorders/>
            <w:shd w:fill="FFFFFF" w:val="clear"/>
            <w:tcMar>
              <w:bottom w:w="0" w:type="dxa"/>
            </w:tcMar>
            <w:vAlign w:val="center"/>
          </w:tcPr>
          <w:p>
            <w:pPr>
              <w:pStyle w:val="TableContents"/>
              <w:bidi w:val="0"/>
              <w:spacing w:before="0" w:after="283"/>
              <w:jc w:val="right"/>
              <w:rPr/>
            </w:pPr>
            <w:r>
              <w:rPr/>
              <w:t> </w:t>
            </w:r>
            <w:r>
              <w:rPr>
                <w:sz w:val="20"/>
              </w:rPr>
              <w:t>(3,156)</w:t>
            </w:r>
          </w:p>
        </w:tc>
        <w:tc>
          <w:tcPr>
            <w:tcW w:w="830" w:type="dxa"/>
            <w:tcBorders/>
            <w:shd w:fill="FFFFFF" w:val="clear"/>
            <w:tcMar>
              <w:bottom w:w="0" w:type="dxa"/>
            </w:tcMar>
            <w:vAlign w:val="center"/>
          </w:tcPr>
          <w:p>
            <w:pPr>
              <w:pStyle w:val="TableContents"/>
              <w:bidi w:val="0"/>
              <w:spacing w:before="0" w:after="283"/>
              <w:jc w:val="right"/>
              <w:rPr/>
            </w:pPr>
            <w:r>
              <w:rPr/>
              <w:t> </w:t>
            </w:r>
            <w:r>
              <w:rPr>
                <w:sz w:val="20"/>
              </w:rPr>
              <w:t>(940)</w:t>
            </w:r>
          </w:p>
        </w:tc>
        <w:tc>
          <w:tcPr>
            <w:tcW w:w="1205" w:type="dxa"/>
            <w:tcBorders/>
            <w:shd w:fill="FFFFFF" w:val="clear"/>
            <w:tcMar>
              <w:bottom w:w="0" w:type="dxa"/>
            </w:tcMar>
            <w:vAlign w:val="center"/>
          </w:tcPr>
          <w:p>
            <w:pPr>
              <w:pStyle w:val="TableContents"/>
              <w:bidi w:val="0"/>
              <w:spacing w:before="0" w:after="283"/>
              <w:jc w:val="right"/>
              <w:rPr/>
            </w:pPr>
            <w:r>
              <w:rPr/>
              <w:t> </w:t>
            </w:r>
            <w:r>
              <w:rPr>
                <w:sz w:val="20"/>
              </w:rPr>
              <w:t xml:space="preserve">- </w:t>
            </w:r>
          </w:p>
        </w:tc>
        <w:tc>
          <w:tcPr>
            <w:tcW w:w="695" w:type="dxa"/>
            <w:tcBorders/>
            <w:shd w:fill="FFFFFF" w:val="clear"/>
            <w:tcMar>
              <w:bottom w:w="0" w:type="dxa"/>
            </w:tcMar>
            <w:vAlign w:val="center"/>
          </w:tcPr>
          <w:p>
            <w:pPr>
              <w:pStyle w:val="TableContents"/>
              <w:bidi w:val="0"/>
              <w:spacing w:before="0" w:after="283"/>
              <w:jc w:val="right"/>
              <w:rPr/>
            </w:pPr>
            <w:r>
              <w:rPr/>
              <w:t> </w:t>
            </w:r>
            <w:r>
              <w:rPr>
                <w:sz w:val="20"/>
              </w:rPr>
              <w:t>(3)</w:t>
            </w:r>
          </w:p>
        </w:tc>
        <w:tc>
          <w:tcPr>
            <w:tcW w:w="905" w:type="dxa"/>
            <w:tcBorders/>
            <w:shd w:fill="FFFFFF" w:val="clear"/>
            <w:tcMar>
              <w:bottom w:w="0" w:type="dxa"/>
            </w:tcMar>
            <w:vAlign w:val="center"/>
          </w:tcPr>
          <w:p>
            <w:pPr>
              <w:pStyle w:val="TableContents"/>
              <w:bidi w:val="0"/>
              <w:spacing w:before="0" w:after="283"/>
              <w:jc w:val="right"/>
              <w:rPr/>
            </w:pPr>
            <w:r>
              <w:rPr/>
              <w:t> </w:t>
            </w:r>
            <w:r>
              <w:rPr>
                <w:sz w:val="20"/>
              </w:rPr>
              <w:t>(4,099)</w:t>
            </w:r>
          </w:p>
        </w:tc>
      </w:tr>
      <w:tr>
        <w:trPr/>
        <w:tc>
          <w:tcPr>
            <w:tcW w:w="3710" w:type="dxa"/>
            <w:tcBorders/>
            <w:shd w:fill="D5EAEA" w:val="clear"/>
            <w:tcMar>
              <w:bottom w:w="0" w:type="dxa"/>
            </w:tcMar>
            <w:vAlign w:val="center"/>
          </w:tcPr>
          <w:p>
            <w:pPr>
              <w:pStyle w:val="TableContents"/>
              <w:bidi w:val="0"/>
              <w:spacing w:before="0" w:after="283"/>
              <w:jc w:val="left"/>
              <w:rPr>
                <w:sz w:val="20"/>
              </w:rPr>
            </w:pPr>
            <w:r>
              <w:rPr>
                <w:sz w:val="20"/>
              </w:rPr>
              <w:t>(-) Other</w:t>
            </w:r>
          </w:p>
        </w:tc>
        <w:tc>
          <w:tcPr>
            <w:tcW w:w="815" w:type="dxa"/>
            <w:tcBorders>
              <w:bottom w:val="single" w:sz="8" w:space="0" w:color="000000"/>
            </w:tcBorders>
            <w:shd w:fill="D5EAEA" w:val="clear"/>
            <w:vAlign w:val="center"/>
          </w:tcPr>
          <w:p>
            <w:pPr>
              <w:pStyle w:val="TableContents"/>
              <w:bidi w:val="0"/>
              <w:spacing w:before="0" w:after="283"/>
              <w:jc w:val="right"/>
              <w:rPr>
                <w:sz w:val="20"/>
              </w:rPr>
            </w:pPr>
            <w:r>
              <w:rPr>
                <w:sz w:val="20"/>
              </w:rPr>
              <w:t>(1)</w:t>
            </w:r>
          </w:p>
        </w:tc>
        <w:tc>
          <w:tcPr>
            <w:tcW w:w="830" w:type="dxa"/>
            <w:tcBorders>
              <w:bottom w:val="single" w:sz="8" w:space="0" w:color="000000"/>
            </w:tcBorders>
            <w:shd w:fill="D5EAEA" w:val="clear"/>
            <w:vAlign w:val="center"/>
          </w:tcPr>
          <w:p>
            <w:pPr>
              <w:pStyle w:val="TableContents"/>
              <w:bidi w:val="0"/>
              <w:spacing w:before="0" w:after="283"/>
              <w:jc w:val="right"/>
              <w:rPr/>
            </w:pPr>
            <w:r>
              <w:rPr/>
              <w:t> </w:t>
            </w:r>
            <w:r>
              <w:rPr>
                <w:sz w:val="20"/>
              </w:rPr>
              <w:t>-</w:t>
            </w:r>
          </w:p>
        </w:tc>
        <w:tc>
          <w:tcPr>
            <w:tcW w:w="1205" w:type="dxa"/>
            <w:tcBorders>
              <w:bottom w:val="single" w:sz="8" w:space="0" w:color="000000"/>
            </w:tcBorders>
            <w:shd w:fill="D5EAEA" w:val="clear"/>
            <w:vAlign w:val="center"/>
          </w:tcPr>
          <w:p>
            <w:pPr>
              <w:pStyle w:val="TableContents"/>
              <w:bidi w:val="0"/>
              <w:spacing w:before="0" w:after="283"/>
              <w:jc w:val="right"/>
              <w:rPr/>
            </w:pPr>
            <w:r>
              <w:rPr/>
              <w:t> </w:t>
            </w:r>
            <w:r>
              <w:rPr>
                <w:sz w:val="20"/>
              </w:rPr>
              <w:t>-</w:t>
            </w:r>
          </w:p>
        </w:tc>
        <w:tc>
          <w:tcPr>
            <w:tcW w:w="695" w:type="dxa"/>
            <w:tcBorders>
              <w:bottom w:val="single" w:sz="8" w:space="0" w:color="000000"/>
            </w:tcBorders>
            <w:shd w:fill="D5EAEA" w:val="clear"/>
            <w:vAlign w:val="center"/>
          </w:tcPr>
          <w:p>
            <w:pPr>
              <w:pStyle w:val="TableContents"/>
              <w:bidi w:val="0"/>
              <w:spacing w:before="0" w:after="283"/>
              <w:jc w:val="right"/>
              <w:rPr>
                <w:sz w:val="20"/>
              </w:rPr>
            </w:pPr>
            <w:r>
              <w:rPr>
                <w:sz w:val="20"/>
              </w:rPr>
              <w:t>(2)</w:t>
            </w:r>
          </w:p>
        </w:tc>
        <w:tc>
          <w:tcPr>
            <w:tcW w:w="905" w:type="dxa"/>
            <w:tcBorders>
              <w:bottom w:val="single" w:sz="8" w:space="0" w:color="000000"/>
            </w:tcBorders>
            <w:shd w:fill="D5EAEA" w:val="clear"/>
            <w:vAlign w:val="center"/>
          </w:tcPr>
          <w:p>
            <w:pPr>
              <w:pStyle w:val="TableContents"/>
              <w:bidi w:val="0"/>
              <w:spacing w:before="0" w:after="283"/>
              <w:jc w:val="right"/>
              <w:rPr>
                <w:sz w:val="20"/>
              </w:rPr>
            </w:pPr>
            <w:r>
              <w:rPr>
                <w:sz w:val="20"/>
              </w:rPr>
              <w:t>(3)</w:t>
            </w:r>
          </w:p>
        </w:tc>
      </w:tr>
      <w:tr>
        <w:trPr/>
        <w:tc>
          <w:tcPr>
            <w:tcW w:w="3710"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left"/>
              <w:rPr>
                <w:b/>
                <w:sz w:val="20"/>
              </w:rPr>
            </w:pPr>
            <w:r>
              <w:rPr>
                <w:b/>
                <w:sz w:val="20"/>
              </w:rPr>
              <w:t>Total - Accumulated amortization</w:t>
            </w:r>
          </w:p>
        </w:tc>
        <w:tc>
          <w:tcPr>
            <w:tcW w:w="815" w:type="dxa"/>
            <w:tcBorders>
              <w:bottom w:val="double" w:sz="6" w:space="0" w:color="000000"/>
            </w:tcBorders>
            <w:shd w:fill="FFFFFF" w:val="clear"/>
            <w:vAlign w:val="center"/>
          </w:tcPr>
          <w:p>
            <w:pPr>
              <w:pStyle w:val="TableContents"/>
              <w:bidi w:val="0"/>
              <w:spacing w:before="0" w:after="283"/>
              <w:jc w:val="right"/>
              <w:rPr>
                <w:b/>
                <w:sz w:val="20"/>
              </w:rPr>
            </w:pPr>
            <w:r>
              <w:rPr>
                <w:b/>
                <w:sz w:val="20"/>
              </w:rPr>
              <w:t>(173,996)</w:t>
            </w:r>
          </w:p>
        </w:tc>
        <w:tc>
          <w:tcPr>
            <w:tcW w:w="830" w:type="dxa"/>
            <w:tcBorders>
              <w:bottom w:val="double" w:sz="6" w:space="0" w:color="000000"/>
            </w:tcBorders>
            <w:shd w:fill="FFFFFF" w:val="clear"/>
            <w:vAlign w:val="center"/>
          </w:tcPr>
          <w:p>
            <w:pPr>
              <w:pStyle w:val="TableContents"/>
              <w:bidi w:val="0"/>
              <w:spacing w:before="0" w:after="283"/>
              <w:jc w:val="right"/>
              <w:rPr>
                <w:b/>
                <w:sz w:val="20"/>
              </w:rPr>
            </w:pPr>
            <w:r>
              <w:rPr>
                <w:b/>
                <w:sz w:val="20"/>
              </w:rPr>
              <w:t>(22,324)</w:t>
            </w:r>
          </w:p>
        </w:tc>
        <w:tc>
          <w:tcPr>
            <w:tcW w:w="1205" w:type="dxa"/>
            <w:tcBorders>
              <w:bottom w:val="double" w:sz="6" w:space="0" w:color="000000"/>
            </w:tcBorders>
            <w:shd w:fill="FFFFFF" w:val="clear"/>
            <w:vAlign w:val="center"/>
          </w:tcPr>
          <w:p>
            <w:pPr>
              <w:pStyle w:val="TableContents"/>
              <w:bidi w:val="0"/>
              <w:spacing w:before="0" w:after="283"/>
              <w:jc w:val="right"/>
              <w:rPr/>
            </w:pPr>
            <w:r>
              <w:rPr/>
              <w:t> </w:t>
            </w:r>
            <w:r>
              <w:rPr>
                <w:sz w:val="20"/>
              </w:rPr>
              <w:t xml:space="preserve">- </w:t>
            </w:r>
          </w:p>
        </w:tc>
        <w:tc>
          <w:tcPr>
            <w:tcW w:w="695" w:type="dxa"/>
            <w:tcBorders>
              <w:bottom w:val="double" w:sz="6" w:space="0" w:color="000000"/>
            </w:tcBorders>
            <w:shd w:fill="FFFFFF" w:val="clear"/>
            <w:vAlign w:val="center"/>
          </w:tcPr>
          <w:p>
            <w:pPr>
              <w:pStyle w:val="TableContents"/>
              <w:bidi w:val="0"/>
              <w:spacing w:before="0" w:after="283"/>
              <w:jc w:val="right"/>
              <w:rPr>
                <w:b/>
                <w:sz w:val="20"/>
              </w:rPr>
            </w:pPr>
            <w:r>
              <w:rPr>
                <w:b/>
                <w:sz w:val="20"/>
              </w:rPr>
              <w:t>3,161</w:t>
            </w:r>
          </w:p>
        </w:tc>
        <w:tc>
          <w:tcPr>
            <w:tcW w:w="905" w:type="dxa"/>
            <w:tcBorders>
              <w:bottom w:val="double" w:sz="6" w:space="0" w:color="000000"/>
            </w:tcBorders>
            <w:shd w:fill="FFFFFF" w:val="clear"/>
            <w:vAlign w:val="center"/>
          </w:tcPr>
          <w:p>
            <w:pPr>
              <w:pStyle w:val="TableContents"/>
              <w:bidi w:val="0"/>
              <w:spacing w:before="0" w:after="283"/>
              <w:jc w:val="right"/>
              <w:rPr>
                <w:b/>
                <w:sz w:val="20"/>
              </w:rPr>
            </w:pPr>
            <w:r>
              <w:rPr>
                <w:b/>
                <w:sz w:val="20"/>
              </w:rPr>
              <w:t>(193,159)</w:t>
            </w:r>
          </w:p>
        </w:tc>
      </w:tr>
      <w:tr>
        <w:trPr/>
        <w:tc>
          <w:tcPr>
            <w:tcW w:w="3710" w:type="dxa"/>
            <w:tcBorders/>
            <w:shd w:fill="D5EAEA" w:val="clear"/>
            <w:tcMar>
              <w:bottom w:w="0" w:type="dxa"/>
            </w:tcMar>
            <w:vAlign w:val="center"/>
          </w:tcPr>
          <w:p>
            <w:pPr>
              <w:pStyle w:val="TableContents"/>
              <w:bidi w:val="0"/>
              <w:spacing w:before="0" w:after="283"/>
              <w:jc w:val="left"/>
              <w:rPr/>
            </w:pPr>
            <w:r>
              <w:rPr/>
              <w:t> </w:t>
            </w:r>
          </w:p>
        </w:tc>
        <w:tc>
          <w:tcPr>
            <w:tcW w:w="815" w:type="dxa"/>
            <w:tcBorders/>
            <w:shd w:fill="D5EAEA" w:val="clear"/>
            <w:tcMar>
              <w:bottom w:w="0" w:type="dxa"/>
            </w:tcMar>
            <w:vAlign w:val="center"/>
          </w:tcPr>
          <w:p>
            <w:pPr>
              <w:pStyle w:val="TableContents"/>
              <w:bidi w:val="0"/>
              <w:spacing w:before="0" w:after="283"/>
              <w:jc w:val="right"/>
              <w:rPr/>
            </w:pPr>
            <w:r>
              <w:rPr/>
              <w:t> </w:t>
            </w:r>
          </w:p>
        </w:tc>
        <w:tc>
          <w:tcPr>
            <w:tcW w:w="830" w:type="dxa"/>
            <w:tcBorders/>
            <w:shd w:fill="D5EAEA" w:val="clear"/>
            <w:tcMar>
              <w:bottom w:w="0" w:type="dxa"/>
            </w:tcMar>
            <w:vAlign w:val="center"/>
          </w:tcPr>
          <w:p>
            <w:pPr>
              <w:pStyle w:val="TableContents"/>
              <w:bidi w:val="0"/>
              <w:spacing w:before="0" w:after="283"/>
              <w:jc w:val="right"/>
              <w:rPr/>
            </w:pPr>
            <w:r>
              <w:rPr/>
              <w:t> </w:t>
            </w:r>
          </w:p>
        </w:tc>
        <w:tc>
          <w:tcPr>
            <w:tcW w:w="1205" w:type="dxa"/>
            <w:tcBorders/>
            <w:shd w:fill="D5EAEA" w:val="clear"/>
            <w:tcMar>
              <w:bottom w:w="0" w:type="dxa"/>
            </w:tcMar>
            <w:vAlign w:val="center"/>
          </w:tcPr>
          <w:p>
            <w:pPr>
              <w:pStyle w:val="TableContents"/>
              <w:bidi w:val="0"/>
              <w:spacing w:before="0" w:after="283"/>
              <w:jc w:val="right"/>
              <w:rPr/>
            </w:pPr>
            <w:r>
              <w:rPr/>
              <w:t> </w:t>
            </w:r>
          </w:p>
        </w:tc>
        <w:tc>
          <w:tcPr>
            <w:tcW w:w="695" w:type="dxa"/>
            <w:tcBorders/>
            <w:shd w:fill="D5EAEA" w:val="clear"/>
            <w:tcMar>
              <w:bottom w:w="0" w:type="dxa"/>
            </w:tcMar>
            <w:vAlign w:val="center"/>
          </w:tcPr>
          <w:p>
            <w:pPr>
              <w:pStyle w:val="TableContents"/>
              <w:bidi w:val="0"/>
              <w:spacing w:before="0" w:after="283"/>
              <w:jc w:val="right"/>
              <w:rPr/>
            </w:pPr>
            <w:r>
              <w:rPr/>
              <w:t> </w:t>
            </w:r>
          </w:p>
        </w:tc>
        <w:tc>
          <w:tcPr>
            <w:tcW w:w="905" w:type="dxa"/>
            <w:tcBorders/>
            <w:shd w:fill="D5EAEA" w:val="clear"/>
            <w:tcMar>
              <w:bottom w:w="0" w:type="dxa"/>
            </w:tcMar>
            <w:vAlign w:val="center"/>
          </w:tcPr>
          <w:p>
            <w:pPr>
              <w:pStyle w:val="TableContents"/>
              <w:bidi w:val="0"/>
              <w:spacing w:before="0" w:after="283"/>
              <w:jc w:val="right"/>
              <w:rPr/>
            </w:pPr>
            <w:r>
              <w:rPr/>
              <w:t> </w:t>
            </w:r>
          </w:p>
        </w:tc>
      </w:tr>
      <w:tr>
        <w:trPr/>
        <w:tc>
          <w:tcPr>
            <w:tcW w:w="3710"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left"/>
              <w:rPr>
                <w:b/>
                <w:sz w:val="20"/>
              </w:rPr>
            </w:pPr>
            <w:r>
              <w:rPr>
                <w:b/>
                <w:sz w:val="20"/>
              </w:rPr>
              <w:t>Intangible assets, net</w:t>
            </w:r>
          </w:p>
        </w:tc>
        <w:tc>
          <w:tcPr>
            <w:tcW w:w="815"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right"/>
              <w:rPr>
                <w:b/>
                <w:sz w:val="20"/>
              </w:rPr>
            </w:pPr>
            <w:r>
              <w:rPr>
                <w:b/>
                <w:sz w:val="20"/>
              </w:rPr>
              <w:t xml:space="preserve">824,150 </w:t>
            </w:r>
          </w:p>
        </w:tc>
        <w:tc>
          <w:tcPr>
            <w:tcW w:w="830"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right"/>
              <w:rPr>
                <w:b/>
                <w:sz w:val="20"/>
              </w:rPr>
            </w:pPr>
            <w:r>
              <w:rPr>
                <w:b/>
                <w:sz w:val="20"/>
              </w:rPr>
              <w:t>(13,554)</w:t>
            </w:r>
          </w:p>
        </w:tc>
        <w:tc>
          <w:tcPr>
            <w:tcW w:w="1205"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right"/>
              <w:rPr/>
            </w:pPr>
            <w:r>
              <w:rPr/>
              <w:t> </w:t>
            </w:r>
            <w:r>
              <w:rPr>
                <w:b/>
                <w:sz w:val="20"/>
              </w:rPr>
              <w:t>227,778</w:t>
            </w:r>
          </w:p>
        </w:tc>
        <w:tc>
          <w:tcPr>
            <w:tcW w:w="695"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right"/>
              <w:rPr>
                <w:b/>
                <w:sz w:val="20"/>
              </w:rPr>
            </w:pPr>
            <w:r>
              <w:rPr>
                <w:b/>
                <w:sz w:val="20"/>
              </w:rPr>
              <w:t>24,909</w:t>
            </w:r>
          </w:p>
        </w:tc>
        <w:tc>
          <w:tcPr>
            <w:tcW w:w="905" w:type="dxa"/>
            <w:tcBorders>
              <w:top w:val="single" w:sz="8" w:space="0" w:color="000000"/>
              <w:bottom w:val="double" w:sz="6" w:space="0" w:color="000000"/>
            </w:tcBorders>
            <w:shd w:fill="FFFFFF" w:val="clear"/>
            <w:tcMar>
              <w:top w:w="28" w:type="dxa"/>
            </w:tcMar>
            <w:vAlign w:val="center"/>
          </w:tcPr>
          <w:p>
            <w:pPr>
              <w:pStyle w:val="TableContents"/>
              <w:bidi w:val="0"/>
              <w:spacing w:before="0" w:after="283"/>
              <w:jc w:val="right"/>
              <w:rPr>
                <w:b/>
                <w:sz w:val="20"/>
              </w:rPr>
            </w:pPr>
            <w:r>
              <w:rPr>
                <w:b/>
                <w:sz w:val="20"/>
              </w:rPr>
              <w:t>1,063,283</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9330" w:type="dxa"/>
        <w:jc w:val="center"/>
        <w:tblInd w:w="0" w:type="dxa"/>
        <w:tblLayout w:type="fixed"/>
        <w:tblCellMar>
          <w:top w:w="0" w:type="dxa"/>
          <w:left w:w="0" w:type="dxa"/>
          <w:bottom w:w="28" w:type="dxa"/>
          <w:right w:w="0" w:type="dxa"/>
        </w:tblCellMar>
      </w:tblPr>
      <w:tblGrid>
        <w:gridCol w:w="4325"/>
        <w:gridCol w:w="950"/>
        <w:gridCol w:w="1070"/>
        <w:gridCol w:w="1205"/>
        <w:gridCol w:w="815"/>
        <w:gridCol w:w="965"/>
      </w:tblGrid>
      <w:tr>
        <w:trPr/>
        <w:tc>
          <w:tcPr>
            <w:tcW w:w="4325" w:type="dxa"/>
            <w:tcBorders>
              <w:bottom w:val="single" w:sz="8" w:space="0" w:color="000000"/>
            </w:tcBorders>
            <w:vAlign w:val="center"/>
          </w:tcPr>
          <w:p>
            <w:pPr>
              <w:pStyle w:val="TableContents"/>
              <w:bidi w:val="0"/>
              <w:spacing w:before="0" w:after="283"/>
              <w:jc w:val="center"/>
              <w:rPr/>
            </w:pPr>
            <w:r>
              <w:rPr/>
              <w:t> </w:t>
            </w:r>
          </w:p>
        </w:tc>
        <w:tc>
          <w:tcPr>
            <w:tcW w:w="5005" w:type="dxa"/>
            <w:gridSpan w:val="5"/>
            <w:tcBorders>
              <w:bottom w:val="single" w:sz="8" w:space="0" w:color="000000"/>
            </w:tcBorders>
            <w:vAlign w:val="center"/>
          </w:tcPr>
          <w:p>
            <w:pPr>
              <w:pStyle w:val="TableContents"/>
              <w:bidi w:val="0"/>
              <w:spacing w:before="0" w:after="283"/>
              <w:jc w:val="center"/>
              <w:rPr>
                <w:b/>
              </w:rPr>
            </w:pPr>
            <w:r>
              <w:rPr>
                <w:b/>
              </w:rPr>
              <w:t>December 31, 2025</w:t>
            </w:r>
          </w:p>
        </w:tc>
      </w:tr>
      <w:tr>
        <w:trPr/>
        <w:tc>
          <w:tcPr>
            <w:tcW w:w="4325" w:type="dxa"/>
            <w:tcBorders>
              <w:bottom w:val="single" w:sz="8" w:space="0" w:color="000000"/>
            </w:tcBorders>
            <w:vAlign w:val="center"/>
          </w:tcPr>
          <w:p>
            <w:pPr>
              <w:pStyle w:val="TableContents"/>
              <w:bidi w:val="0"/>
              <w:spacing w:before="0" w:after="283"/>
              <w:jc w:val="left"/>
              <w:rPr>
                <w:b/>
                <w:i/>
              </w:rPr>
            </w:pPr>
            <w:r>
              <w:rPr>
                <w:b/>
                <w:i/>
              </w:rPr>
              <w:t>Changes in costs</w:t>
            </w:r>
          </w:p>
        </w:tc>
        <w:tc>
          <w:tcPr>
            <w:tcW w:w="95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w:t>
            </w:r>
          </w:p>
        </w:tc>
        <w:tc>
          <w:tcPr>
            <w:tcW w:w="1070" w:type="dxa"/>
            <w:tcBorders>
              <w:bottom w:val="single" w:sz="8" w:space="0" w:color="000000"/>
            </w:tcBorders>
            <w:vAlign w:val="center"/>
          </w:tcPr>
          <w:p>
            <w:pPr>
              <w:pStyle w:val="TableContents"/>
              <w:bidi w:val="0"/>
              <w:spacing w:before="0" w:after="283"/>
              <w:jc w:val="center"/>
              <w:rPr>
                <w:b/>
              </w:rPr>
            </w:pPr>
            <w:r>
              <w:rPr>
                <w:b/>
              </w:rPr>
              <w:t xml:space="preserve">Additions </w:t>
            </w:r>
          </w:p>
        </w:tc>
        <w:tc>
          <w:tcPr>
            <w:tcW w:w="12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combinations </w:t>
            </w:r>
          </w:p>
        </w:tc>
        <w:tc>
          <w:tcPr>
            <w:tcW w:w="815" w:type="dxa"/>
            <w:tcBorders>
              <w:bottom w:val="single" w:sz="8" w:space="0" w:color="000000"/>
            </w:tcBorders>
            <w:vAlign w:val="center"/>
          </w:tcPr>
          <w:p>
            <w:pPr>
              <w:pStyle w:val="TableContents"/>
              <w:bidi w:val="0"/>
              <w:spacing w:before="0" w:after="283"/>
              <w:jc w:val="center"/>
              <w:rPr>
                <w:b/>
              </w:rPr>
            </w:pPr>
            <w:r>
              <w:rPr>
                <w:b/>
              </w:rPr>
              <w:t>CTA</w:t>
            </w:r>
            <w:r>
              <w:rPr>
                <w:b/>
                <w:position w:val="8"/>
                <w:sz w:val="19"/>
              </w:rPr>
              <w:t>(*)</w:t>
            </w:r>
          </w:p>
        </w:tc>
        <w:tc>
          <w:tcPr>
            <w:tcW w:w="96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w:t>
            </w:r>
          </w:p>
        </w:tc>
      </w:tr>
      <w:tr>
        <w:trPr/>
        <w:tc>
          <w:tcPr>
            <w:tcW w:w="4325"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1070" w:type="dxa"/>
            <w:tcBorders/>
            <w:tcMar>
              <w:bottom w:w="0" w:type="dxa"/>
            </w:tcMar>
            <w:vAlign w:val="center"/>
          </w:tcPr>
          <w:p>
            <w:pPr>
              <w:pStyle w:val="TableContents"/>
              <w:bidi w:val="0"/>
              <w:spacing w:before="0" w:after="283"/>
              <w:jc w:val="right"/>
              <w:rPr/>
            </w:pPr>
            <w:r>
              <w:rPr/>
              <w:t> </w:t>
            </w:r>
          </w:p>
        </w:tc>
        <w:tc>
          <w:tcPr>
            <w:tcW w:w="1205" w:type="dxa"/>
            <w:tcBorders/>
            <w:tcMar>
              <w:bottom w:w="0" w:type="dxa"/>
            </w:tcMar>
            <w:vAlign w:val="center"/>
          </w:tcPr>
          <w:p>
            <w:pPr>
              <w:pStyle w:val="TableContents"/>
              <w:bidi w:val="0"/>
              <w:spacing w:before="0" w:after="283"/>
              <w:jc w:val="right"/>
              <w:rPr/>
            </w:pPr>
            <w:r>
              <w:rPr/>
              <w:t> </w:t>
            </w:r>
          </w:p>
        </w:tc>
        <w:tc>
          <w:tcPr>
            <w:tcW w:w="815" w:type="dxa"/>
            <w:tcBorders/>
            <w:tcMar>
              <w:bottom w:w="0" w:type="dxa"/>
            </w:tcMar>
            <w:vAlign w:val="center"/>
          </w:tcPr>
          <w:p>
            <w:pPr>
              <w:pStyle w:val="TableContents"/>
              <w:bidi w:val="0"/>
              <w:spacing w:before="0" w:after="283"/>
              <w:jc w:val="right"/>
              <w:rPr/>
            </w:pPr>
            <w:r>
              <w:rPr/>
              <w:t> </w:t>
            </w:r>
          </w:p>
        </w:tc>
        <w:tc>
          <w:tcPr>
            <w:tcW w:w="965" w:type="dxa"/>
            <w:tcBorders/>
            <w:tcMar>
              <w:bottom w:w="0" w:type="dxa"/>
            </w:tcMar>
            <w:vAlign w:val="center"/>
          </w:tcPr>
          <w:p>
            <w:pPr>
              <w:pStyle w:val="TableContents"/>
              <w:bidi w:val="0"/>
              <w:spacing w:before="0" w:after="283"/>
              <w:jc w:val="right"/>
              <w:rPr/>
            </w:pPr>
            <w:r>
              <w:rPr/>
              <w:t> </w:t>
            </w:r>
          </w:p>
        </w:tc>
      </w:tr>
      <w:tr>
        <w:trPr/>
        <w:tc>
          <w:tcPr>
            <w:tcW w:w="4325" w:type="dxa"/>
            <w:tcBorders/>
            <w:shd w:fill="D5EAEA" w:val="clear"/>
            <w:tcMar>
              <w:bottom w:w="0" w:type="dxa"/>
            </w:tcMar>
            <w:vAlign w:val="center"/>
          </w:tcPr>
          <w:p>
            <w:pPr>
              <w:pStyle w:val="TableContents"/>
              <w:bidi w:val="0"/>
              <w:spacing w:before="0" w:after="283"/>
              <w:jc w:val="left"/>
              <w:rPr/>
            </w:pPr>
            <w:r>
              <w:rPr/>
              <w:t>Placement agents (a)</w:t>
            </w:r>
          </w:p>
        </w:tc>
        <w:tc>
          <w:tcPr>
            <w:tcW w:w="950" w:type="dxa"/>
            <w:tcBorders/>
            <w:shd w:fill="D5EAEA" w:val="clear"/>
            <w:tcMar>
              <w:bottom w:w="0" w:type="dxa"/>
            </w:tcMar>
            <w:vAlign w:val="center"/>
          </w:tcPr>
          <w:p>
            <w:pPr>
              <w:pStyle w:val="TableContents"/>
              <w:bidi w:val="0"/>
              <w:spacing w:before="0" w:after="283"/>
              <w:jc w:val="right"/>
              <w:rPr/>
            </w:pPr>
            <w:r>
              <w:rPr/>
              <w:tab/>
              <w:t>53,400</w:t>
              <w:tab/>
            </w:r>
          </w:p>
        </w:tc>
        <w:tc>
          <w:tcPr>
            <w:tcW w:w="1070" w:type="dxa"/>
            <w:tcBorders/>
            <w:shd w:fill="D5EAEA" w:val="clear"/>
            <w:tcMar>
              <w:bottom w:w="0" w:type="dxa"/>
            </w:tcMar>
            <w:vAlign w:val="center"/>
          </w:tcPr>
          <w:p>
            <w:pPr>
              <w:pStyle w:val="TableContents"/>
              <w:bidi w:val="0"/>
              <w:spacing w:before="0" w:after="283"/>
              <w:jc w:val="right"/>
              <w:rPr/>
            </w:pPr>
            <w:r>
              <w:rPr/>
              <w:tab/>
              <w:t>2,415</w:t>
              <w:tab/>
            </w:r>
          </w:p>
        </w:tc>
        <w:tc>
          <w:tcPr>
            <w:tcW w:w="1205" w:type="dxa"/>
            <w:tcBorders/>
            <w:shd w:fill="D5EAEA" w:val="clear"/>
            <w:tcMar>
              <w:bottom w:w="0" w:type="dxa"/>
            </w:tcMar>
            <w:vAlign w:val="center"/>
          </w:tcPr>
          <w:p>
            <w:pPr>
              <w:pStyle w:val="TableContents"/>
              <w:bidi w:val="0"/>
              <w:spacing w:before="0" w:after="283"/>
              <w:jc w:val="right"/>
              <w:rPr/>
            </w:pPr>
            <w:r>
              <w:rPr/>
              <w:tab/>
              <w:t>—</w:t>
              <w:tab/>
            </w:r>
          </w:p>
        </w:tc>
        <w:tc>
          <w:tcPr>
            <w:tcW w:w="815" w:type="dxa"/>
            <w:tcBorders/>
            <w:shd w:fill="D5EAEA" w:val="clear"/>
            <w:tcMar>
              <w:bottom w:w="0" w:type="dxa"/>
            </w:tcMar>
            <w:vAlign w:val="center"/>
          </w:tcPr>
          <w:p>
            <w:pPr>
              <w:pStyle w:val="TableContents"/>
              <w:bidi w:val="0"/>
              <w:spacing w:before="0" w:after="283"/>
              <w:jc w:val="right"/>
              <w:rPr/>
            </w:pPr>
            <w:r>
              <w:rPr/>
              <w:tab/>
              <w:t>2,154</w:t>
              <w:tab/>
            </w:r>
          </w:p>
        </w:tc>
        <w:tc>
          <w:tcPr>
            <w:tcW w:w="965" w:type="dxa"/>
            <w:tcBorders/>
            <w:shd w:fill="D5EAEA" w:val="clear"/>
            <w:tcMar>
              <w:bottom w:w="0" w:type="dxa"/>
            </w:tcMar>
            <w:vAlign w:val="center"/>
          </w:tcPr>
          <w:p>
            <w:pPr>
              <w:pStyle w:val="TableContents"/>
              <w:bidi w:val="0"/>
              <w:spacing w:before="0" w:after="283"/>
              <w:jc w:val="right"/>
              <w:rPr/>
            </w:pPr>
            <w:r>
              <w:rPr/>
              <w:tab/>
              <w:t>57,969</w:t>
              <w:tab/>
            </w:r>
          </w:p>
        </w:tc>
      </w:tr>
      <w:tr>
        <w:trPr/>
        <w:tc>
          <w:tcPr>
            <w:tcW w:w="4325" w:type="dxa"/>
            <w:tcBorders/>
            <w:shd w:fill="FFFFFF" w:val="clear"/>
            <w:tcMar>
              <w:bottom w:w="0" w:type="dxa"/>
            </w:tcMar>
            <w:vAlign w:val="center"/>
          </w:tcPr>
          <w:p>
            <w:pPr>
              <w:pStyle w:val="TableContents"/>
              <w:bidi w:val="0"/>
              <w:spacing w:before="0" w:after="283"/>
              <w:jc w:val="left"/>
              <w:rPr/>
            </w:pPr>
            <w:r>
              <w:rPr/>
              <w:t xml:space="preserve">Contractual rights (b) </w:t>
            </w:r>
          </w:p>
        </w:tc>
        <w:tc>
          <w:tcPr>
            <w:tcW w:w="950" w:type="dxa"/>
            <w:tcBorders/>
            <w:shd w:fill="FFFFFF" w:val="clear"/>
            <w:tcMar>
              <w:bottom w:w="0" w:type="dxa"/>
            </w:tcMar>
            <w:vAlign w:val="center"/>
          </w:tcPr>
          <w:p>
            <w:pPr>
              <w:pStyle w:val="TableContents"/>
              <w:bidi w:val="0"/>
              <w:spacing w:before="0" w:after="283"/>
              <w:jc w:val="right"/>
              <w:rPr/>
            </w:pPr>
            <w:r>
              <w:rPr/>
              <w:tab/>
              <w:t>281,119</w:t>
              <w:tab/>
            </w:r>
          </w:p>
        </w:tc>
        <w:tc>
          <w:tcPr>
            <w:tcW w:w="1070" w:type="dxa"/>
            <w:tcBorders/>
            <w:shd w:fill="FFFFFF" w:val="clear"/>
            <w:tcMar>
              <w:bottom w:w="0" w:type="dxa"/>
            </w:tcMar>
            <w:vAlign w:val="center"/>
          </w:tcPr>
          <w:p>
            <w:pPr>
              <w:pStyle w:val="TableContents"/>
              <w:bidi w:val="0"/>
              <w:spacing w:before="0" w:after="283"/>
              <w:jc w:val="right"/>
              <w:rPr/>
            </w:pPr>
            <w:r>
              <w:rPr/>
              <w:tab/>
              <w:t>37,737</w:t>
              <w:tab/>
            </w:r>
          </w:p>
        </w:tc>
        <w:tc>
          <w:tcPr>
            <w:tcW w:w="1205" w:type="dxa"/>
            <w:tcBorders/>
            <w:shd w:fill="FFFFFF" w:val="clear"/>
            <w:tcMar>
              <w:bottom w:w="0" w:type="dxa"/>
            </w:tcMar>
            <w:vAlign w:val="center"/>
          </w:tcPr>
          <w:p>
            <w:pPr>
              <w:pStyle w:val="TableContents"/>
              <w:bidi w:val="0"/>
              <w:spacing w:before="0" w:after="283"/>
              <w:jc w:val="right"/>
              <w:rPr/>
            </w:pPr>
            <w:r>
              <w:rPr/>
              <w:tab/>
              <w:t>—</w:t>
              <w:tab/>
            </w:r>
          </w:p>
        </w:tc>
        <w:tc>
          <w:tcPr>
            <w:tcW w:w="815" w:type="dxa"/>
            <w:tcBorders/>
            <w:shd w:fill="FFFFFF" w:val="clear"/>
            <w:tcMar>
              <w:bottom w:w="0" w:type="dxa"/>
            </w:tcMar>
            <w:vAlign w:val="center"/>
          </w:tcPr>
          <w:p>
            <w:pPr>
              <w:pStyle w:val="TableContents"/>
              <w:bidi w:val="0"/>
              <w:spacing w:before="0" w:after="283"/>
              <w:jc w:val="right"/>
              <w:rPr/>
            </w:pPr>
            <w:r>
              <w:rPr/>
              <w:tab/>
              <w:t>20,691</w:t>
              <w:tab/>
            </w:r>
          </w:p>
        </w:tc>
        <w:tc>
          <w:tcPr>
            <w:tcW w:w="965" w:type="dxa"/>
            <w:tcBorders/>
            <w:shd w:fill="FFFFFF" w:val="clear"/>
            <w:tcMar>
              <w:bottom w:w="0" w:type="dxa"/>
            </w:tcMar>
            <w:vAlign w:val="center"/>
          </w:tcPr>
          <w:p>
            <w:pPr>
              <w:pStyle w:val="TableContents"/>
              <w:bidi w:val="0"/>
              <w:spacing w:before="0" w:after="283"/>
              <w:jc w:val="right"/>
              <w:rPr/>
            </w:pPr>
            <w:r>
              <w:rPr/>
              <w:tab/>
              <w:t>339,547</w:t>
              <w:tab/>
            </w:r>
          </w:p>
        </w:tc>
      </w:tr>
      <w:tr>
        <w:trPr/>
        <w:tc>
          <w:tcPr>
            <w:tcW w:w="4325" w:type="dxa"/>
            <w:tcBorders/>
            <w:shd w:fill="D5EAEA" w:val="clear"/>
            <w:tcMar>
              <w:bottom w:w="0" w:type="dxa"/>
            </w:tcMar>
            <w:vAlign w:val="center"/>
          </w:tcPr>
          <w:p>
            <w:pPr>
              <w:pStyle w:val="TableContents"/>
              <w:bidi w:val="0"/>
              <w:spacing w:before="0" w:after="283"/>
              <w:jc w:val="left"/>
              <w:rPr/>
            </w:pPr>
            <w:r>
              <w:rPr/>
              <w:t>Non-contractual customer relationships (c)</w:t>
            </w:r>
          </w:p>
        </w:tc>
        <w:tc>
          <w:tcPr>
            <w:tcW w:w="950" w:type="dxa"/>
            <w:tcBorders/>
            <w:shd w:fill="D5EAEA" w:val="clear"/>
            <w:tcMar>
              <w:bottom w:w="0" w:type="dxa"/>
            </w:tcMar>
            <w:vAlign w:val="center"/>
          </w:tcPr>
          <w:p>
            <w:pPr>
              <w:pStyle w:val="TableContents"/>
              <w:bidi w:val="0"/>
              <w:spacing w:before="0" w:after="283"/>
              <w:jc w:val="right"/>
              <w:rPr/>
            </w:pPr>
            <w:r>
              <w:rPr/>
              <w:tab/>
              <w:t>110,782</w:t>
              <w:tab/>
            </w:r>
          </w:p>
        </w:tc>
        <w:tc>
          <w:tcPr>
            <w:tcW w:w="1070" w:type="dxa"/>
            <w:tcBorders/>
            <w:shd w:fill="D5EAEA" w:val="clear"/>
            <w:tcMar>
              <w:bottom w:w="0" w:type="dxa"/>
            </w:tcMar>
            <w:vAlign w:val="center"/>
          </w:tcPr>
          <w:p>
            <w:pPr>
              <w:pStyle w:val="TableContents"/>
              <w:bidi w:val="0"/>
              <w:spacing w:before="0" w:after="283"/>
              <w:jc w:val="right"/>
              <w:rPr/>
            </w:pPr>
            <w:r>
              <w:rPr/>
              <w:tab/>
              <w:t>—</w:t>
              <w:tab/>
            </w:r>
          </w:p>
        </w:tc>
        <w:tc>
          <w:tcPr>
            <w:tcW w:w="1205" w:type="dxa"/>
            <w:tcBorders/>
            <w:shd w:fill="D5EAEA" w:val="clear"/>
            <w:tcMar>
              <w:bottom w:w="0" w:type="dxa"/>
            </w:tcMar>
            <w:vAlign w:val="center"/>
          </w:tcPr>
          <w:p>
            <w:pPr>
              <w:pStyle w:val="TableContents"/>
              <w:bidi w:val="0"/>
              <w:spacing w:before="0" w:after="283"/>
              <w:jc w:val="right"/>
              <w:rPr/>
            </w:pPr>
            <w:r>
              <w:rPr/>
              <w:tab/>
              <w:t>—</w:t>
              <w:tab/>
            </w:r>
          </w:p>
        </w:tc>
        <w:tc>
          <w:tcPr>
            <w:tcW w:w="815" w:type="dxa"/>
            <w:tcBorders/>
            <w:shd w:fill="D5EAEA" w:val="clear"/>
            <w:tcMar>
              <w:bottom w:w="0" w:type="dxa"/>
            </w:tcMar>
            <w:vAlign w:val="center"/>
          </w:tcPr>
          <w:p>
            <w:pPr>
              <w:pStyle w:val="TableContents"/>
              <w:bidi w:val="0"/>
              <w:spacing w:before="0" w:after="283"/>
              <w:jc w:val="right"/>
              <w:rPr/>
            </w:pPr>
            <w:r>
              <w:rPr/>
              <w:tab/>
              <w:t>10,939</w:t>
              <w:tab/>
            </w:r>
          </w:p>
        </w:tc>
        <w:tc>
          <w:tcPr>
            <w:tcW w:w="965" w:type="dxa"/>
            <w:tcBorders/>
            <w:shd w:fill="D5EAEA" w:val="clear"/>
            <w:tcMar>
              <w:bottom w:w="0" w:type="dxa"/>
            </w:tcMar>
            <w:vAlign w:val="center"/>
          </w:tcPr>
          <w:p>
            <w:pPr>
              <w:pStyle w:val="TableContents"/>
              <w:bidi w:val="0"/>
              <w:spacing w:before="0" w:after="283"/>
              <w:jc w:val="right"/>
              <w:rPr/>
            </w:pPr>
            <w:r>
              <w:rPr/>
              <w:tab/>
              <w:t>121,721</w:t>
              <w:tab/>
            </w:r>
          </w:p>
        </w:tc>
      </w:tr>
      <w:tr>
        <w:trPr/>
        <w:tc>
          <w:tcPr>
            <w:tcW w:w="4325" w:type="dxa"/>
            <w:tcBorders/>
            <w:shd w:fill="FFFFFF" w:val="clear"/>
            <w:tcMar>
              <w:bottom w:w="0" w:type="dxa"/>
            </w:tcMar>
            <w:vAlign w:val="center"/>
          </w:tcPr>
          <w:p>
            <w:pPr>
              <w:pStyle w:val="TableContents"/>
              <w:bidi w:val="0"/>
              <w:spacing w:before="0" w:after="283"/>
              <w:jc w:val="left"/>
              <w:rPr/>
            </w:pPr>
            <w:r>
              <w:rPr/>
              <w:t xml:space="preserve">Software </w:t>
            </w:r>
          </w:p>
        </w:tc>
        <w:tc>
          <w:tcPr>
            <w:tcW w:w="950" w:type="dxa"/>
            <w:tcBorders/>
            <w:shd w:fill="FFFFFF" w:val="clear"/>
            <w:tcMar>
              <w:bottom w:w="0" w:type="dxa"/>
            </w:tcMar>
            <w:vAlign w:val="center"/>
          </w:tcPr>
          <w:p>
            <w:pPr>
              <w:pStyle w:val="TableContents"/>
              <w:bidi w:val="0"/>
              <w:spacing w:before="0" w:after="283"/>
              <w:jc w:val="right"/>
              <w:rPr/>
            </w:pPr>
            <w:r>
              <w:rPr/>
              <w:tab/>
              <w:t>8,453</w:t>
              <w:tab/>
            </w:r>
          </w:p>
        </w:tc>
        <w:tc>
          <w:tcPr>
            <w:tcW w:w="1070" w:type="dxa"/>
            <w:tcBorders/>
            <w:shd w:fill="FFFFFF" w:val="clear"/>
            <w:tcMar>
              <w:bottom w:w="0" w:type="dxa"/>
            </w:tcMar>
            <w:vAlign w:val="center"/>
          </w:tcPr>
          <w:p>
            <w:pPr>
              <w:pStyle w:val="TableContents"/>
              <w:bidi w:val="0"/>
              <w:spacing w:before="0" w:after="283"/>
              <w:jc w:val="right"/>
              <w:rPr/>
            </w:pPr>
            <w:r>
              <w:rPr/>
              <w:tab/>
              <w:t>4,378</w:t>
              <w:tab/>
            </w:r>
          </w:p>
        </w:tc>
        <w:tc>
          <w:tcPr>
            <w:tcW w:w="1205" w:type="dxa"/>
            <w:tcBorders/>
            <w:shd w:fill="FFFFFF" w:val="clear"/>
            <w:tcMar>
              <w:bottom w:w="0" w:type="dxa"/>
            </w:tcMar>
            <w:vAlign w:val="center"/>
          </w:tcPr>
          <w:p>
            <w:pPr>
              <w:pStyle w:val="TableContents"/>
              <w:bidi w:val="0"/>
              <w:spacing w:before="0" w:after="283"/>
              <w:jc w:val="right"/>
              <w:rPr/>
            </w:pPr>
            <w:r>
              <w:rPr/>
              <w:tab/>
              <w:t>—</w:t>
              <w:tab/>
            </w:r>
          </w:p>
        </w:tc>
        <w:tc>
          <w:tcPr>
            <w:tcW w:w="815" w:type="dxa"/>
            <w:tcBorders/>
            <w:shd w:fill="FFFFFF" w:val="clear"/>
            <w:tcMar>
              <w:bottom w:w="0" w:type="dxa"/>
            </w:tcMar>
            <w:vAlign w:val="center"/>
          </w:tcPr>
          <w:p>
            <w:pPr>
              <w:pStyle w:val="TableContents"/>
              <w:bidi w:val="0"/>
              <w:spacing w:before="0" w:after="283"/>
              <w:jc w:val="right"/>
              <w:rPr/>
            </w:pPr>
            <w:r>
              <w:rPr/>
              <w:tab/>
              <w:t>506</w:t>
              <w:tab/>
            </w:r>
          </w:p>
        </w:tc>
        <w:tc>
          <w:tcPr>
            <w:tcW w:w="965" w:type="dxa"/>
            <w:tcBorders/>
            <w:shd w:fill="FFFFFF" w:val="clear"/>
            <w:tcMar>
              <w:bottom w:w="0" w:type="dxa"/>
            </w:tcMar>
            <w:vAlign w:val="center"/>
          </w:tcPr>
          <w:p>
            <w:pPr>
              <w:pStyle w:val="TableContents"/>
              <w:bidi w:val="0"/>
              <w:spacing w:before="0" w:after="283"/>
              <w:jc w:val="right"/>
              <w:rPr/>
            </w:pPr>
            <w:r>
              <w:rPr/>
              <w:tab/>
              <w:t>13,337</w:t>
              <w:tab/>
            </w:r>
          </w:p>
        </w:tc>
      </w:tr>
      <w:tr>
        <w:trPr/>
        <w:tc>
          <w:tcPr>
            <w:tcW w:w="4325" w:type="dxa"/>
            <w:tcBorders/>
            <w:shd w:fill="D5EAEA" w:val="clear"/>
            <w:tcMar>
              <w:bottom w:w="0" w:type="dxa"/>
            </w:tcMar>
            <w:vAlign w:val="center"/>
          </w:tcPr>
          <w:p>
            <w:pPr>
              <w:pStyle w:val="TableContents"/>
              <w:bidi w:val="0"/>
              <w:spacing w:before="0" w:after="283"/>
              <w:jc w:val="left"/>
              <w:rPr/>
            </w:pPr>
            <w:r>
              <w:rPr/>
              <w:t>Brands (c)</w:t>
            </w:r>
          </w:p>
        </w:tc>
        <w:tc>
          <w:tcPr>
            <w:tcW w:w="950" w:type="dxa"/>
            <w:tcBorders/>
            <w:shd w:fill="D5EAEA" w:val="clear"/>
            <w:tcMar>
              <w:bottom w:w="0" w:type="dxa"/>
            </w:tcMar>
            <w:vAlign w:val="center"/>
          </w:tcPr>
          <w:p>
            <w:pPr>
              <w:pStyle w:val="TableContents"/>
              <w:bidi w:val="0"/>
              <w:spacing w:before="0" w:after="283"/>
              <w:jc w:val="right"/>
              <w:rPr/>
            </w:pPr>
            <w:r>
              <w:rPr/>
              <w:tab/>
              <w:t>17,998</w:t>
              <w:tab/>
            </w:r>
          </w:p>
        </w:tc>
        <w:tc>
          <w:tcPr>
            <w:tcW w:w="1070" w:type="dxa"/>
            <w:tcBorders/>
            <w:shd w:fill="D5EAEA" w:val="clear"/>
            <w:tcMar>
              <w:bottom w:w="0" w:type="dxa"/>
            </w:tcMar>
            <w:vAlign w:val="center"/>
          </w:tcPr>
          <w:p>
            <w:pPr>
              <w:pStyle w:val="TableContents"/>
              <w:bidi w:val="0"/>
              <w:spacing w:before="0" w:after="283"/>
              <w:jc w:val="right"/>
              <w:rPr/>
            </w:pPr>
            <w:r>
              <w:rPr/>
              <w:tab/>
              <w:t>—</w:t>
              <w:tab/>
            </w:r>
          </w:p>
        </w:tc>
        <w:tc>
          <w:tcPr>
            <w:tcW w:w="1205" w:type="dxa"/>
            <w:tcBorders/>
            <w:shd w:fill="D5EAEA" w:val="clear"/>
            <w:tcMar>
              <w:bottom w:w="0" w:type="dxa"/>
            </w:tcMar>
            <w:vAlign w:val="center"/>
          </w:tcPr>
          <w:p>
            <w:pPr>
              <w:pStyle w:val="TableContents"/>
              <w:bidi w:val="0"/>
              <w:spacing w:before="0" w:after="283"/>
              <w:jc w:val="right"/>
              <w:rPr/>
            </w:pPr>
            <w:r>
              <w:rPr/>
              <w:tab/>
              <w:t>—</w:t>
              <w:tab/>
            </w:r>
          </w:p>
        </w:tc>
        <w:tc>
          <w:tcPr>
            <w:tcW w:w="815" w:type="dxa"/>
            <w:tcBorders/>
            <w:shd w:fill="D5EAEA" w:val="clear"/>
            <w:tcMar>
              <w:bottom w:w="0" w:type="dxa"/>
            </w:tcMar>
            <w:vAlign w:val="center"/>
          </w:tcPr>
          <w:p>
            <w:pPr>
              <w:pStyle w:val="TableContents"/>
              <w:bidi w:val="0"/>
              <w:spacing w:before="0" w:after="283"/>
              <w:jc w:val="right"/>
              <w:rPr/>
            </w:pPr>
            <w:r>
              <w:rPr/>
              <w:tab/>
              <w:t>1,398</w:t>
              <w:tab/>
            </w:r>
          </w:p>
        </w:tc>
        <w:tc>
          <w:tcPr>
            <w:tcW w:w="965" w:type="dxa"/>
            <w:tcBorders/>
            <w:shd w:fill="D5EAEA" w:val="clear"/>
            <w:tcMar>
              <w:bottom w:w="0" w:type="dxa"/>
            </w:tcMar>
            <w:vAlign w:val="center"/>
          </w:tcPr>
          <w:p>
            <w:pPr>
              <w:pStyle w:val="TableContents"/>
              <w:bidi w:val="0"/>
              <w:spacing w:before="0" w:after="283"/>
              <w:jc w:val="right"/>
              <w:rPr/>
            </w:pPr>
            <w:r>
              <w:rPr/>
              <w:tab/>
              <w:t>19,396</w:t>
              <w:tab/>
            </w:r>
          </w:p>
        </w:tc>
      </w:tr>
      <w:tr>
        <w:trPr/>
        <w:tc>
          <w:tcPr>
            <w:tcW w:w="4325" w:type="dxa"/>
            <w:tcBorders/>
            <w:shd w:fill="FFFFFF" w:val="clear"/>
            <w:tcMar>
              <w:bottom w:w="0" w:type="dxa"/>
            </w:tcMar>
            <w:vAlign w:val="center"/>
          </w:tcPr>
          <w:p>
            <w:pPr>
              <w:pStyle w:val="TableContents"/>
              <w:bidi w:val="0"/>
              <w:spacing w:before="0" w:after="283"/>
              <w:jc w:val="left"/>
              <w:rPr/>
            </w:pPr>
            <w:r>
              <w:rPr/>
              <w:t>Goodwill (d)</w:t>
            </w:r>
          </w:p>
        </w:tc>
        <w:tc>
          <w:tcPr>
            <w:tcW w:w="950" w:type="dxa"/>
            <w:tcBorders/>
            <w:shd w:fill="FFFFFF" w:val="clear"/>
            <w:tcMar>
              <w:bottom w:w="0" w:type="dxa"/>
            </w:tcMar>
            <w:vAlign w:val="center"/>
          </w:tcPr>
          <w:p>
            <w:pPr>
              <w:pStyle w:val="TableContents"/>
              <w:bidi w:val="0"/>
              <w:spacing w:before="0" w:after="283"/>
              <w:jc w:val="right"/>
              <w:rPr/>
            </w:pPr>
            <w:r>
              <w:rPr/>
              <w:tab/>
              <w:t>355,958</w:t>
              <w:tab/>
            </w:r>
          </w:p>
        </w:tc>
        <w:tc>
          <w:tcPr>
            <w:tcW w:w="1070" w:type="dxa"/>
            <w:tcBorders/>
            <w:shd w:fill="FFFFFF" w:val="clear"/>
            <w:tcMar>
              <w:bottom w:w="0" w:type="dxa"/>
            </w:tcMar>
            <w:vAlign w:val="center"/>
          </w:tcPr>
          <w:p>
            <w:pPr>
              <w:pStyle w:val="TableContents"/>
              <w:bidi w:val="0"/>
              <w:spacing w:before="0" w:after="283"/>
              <w:jc w:val="right"/>
              <w:rPr/>
            </w:pPr>
            <w:r>
              <w:rPr/>
              <w:tab/>
              <w:t>—</w:t>
              <w:tab/>
            </w:r>
          </w:p>
        </w:tc>
        <w:tc>
          <w:tcPr>
            <w:tcW w:w="1205" w:type="dxa"/>
            <w:tcBorders/>
            <w:shd w:fill="FFFFFF" w:val="clear"/>
            <w:tcMar>
              <w:bottom w:w="0" w:type="dxa"/>
            </w:tcMar>
            <w:vAlign w:val="center"/>
          </w:tcPr>
          <w:p>
            <w:pPr>
              <w:pStyle w:val="TableContents"/>
              <w:bidi w:val="0"/>
              <w:spacing w:before="0" w:after="283"/>
              <w:jc w:val="right"/>
              <w:rPr/>
            </w:pPr>
            <w:r>
              <w:rPr/>
              <w:tab/>
              <w:t>61,225</w:t>
              <w:tab/>
            </w:r>
          </w:p>
        </w:tc>
        <w:tc>
          <w:tcPr>
            <w:tcW w:w="815" w:type="dxa"/>
            <w:tcBorders/>
            <w:shd w:fill="FFFFFF" w:val="clear"/>
            <w:tcMar>
              <w:bottom w:w="0" w:type="dxa"/>
            </w:tcMar>
            <w:vAlign w:val="center"/>
          </w:tcPr>
          <w:p>
            <w:pPr>
              <w:pStyle w:val="TableContents"/>
              <w:bidi w:val="0"/>
              <w:spacing w:before="0" w:after="283"/>
              <w:jc w:val="right"/>
              <w:rPr/>
            </w:pPr>
            <w:r>
              <w:rPr/>
              <w:tab/>
              <w:t>22,943</w:t>
              <w:tab/>
            </w:r>
          </w:p>
        </w:tc>
        <w:tc>
          <w:tcPr>
            <w:tcW w:w="965" w:type="dxa"/>
            <w:tcBorders/>
            <w:shd w:fill="FFFFFF" w:val="clear"/>
            <w:tcMar>
              <w:bottom w:w="0" w:type="dxa"/>
            </w:tcMar>
            <w:vAlign w:val="center"/>
          </w:tcPr>
          <w:p>
            <w:pPr>
              <w:pStyle w:val="TableContents"/>
              <w:bidi w:val="0"/>
              <w:spacing w:before="0" w:after="283"/>
              <w:jc w:val="right"/>
              <w:rPr/>
            </w:pPr>
            <w:r>
              <w:rPr/>
              <w:tab/>
              <w:t>440,126</w:t>
              <w:tab/>
            </w:r>
          </w:p>
        </w:tc>
      </w:tr>
      <w:tr>
        <w:trPr/>
        <w:tc>
          <w:tcPr>
            <w:tcW w:w="4325" w:type="dxa"/>
            <w:tcBorders/>
            <w:shd w:fill="D5EAEA" w:val="clear"/>
            <w:tcMar>
              <w:bottom w:w="0" w:type="dxa"/>
            </w:tcMar>
            <w:vAlign w:val="center"/>
          </w:tcPr>
          <w:p>
            <w:pPr>
              <w:pStyle w:val="TableContents"/>
              <w:bidi w:val="0"/>
              <w:spacing w:before="0" w:after="283"/>
              <w:jc w:val="left"/>
              <w:rPr/>
            </w:pPr>
            <w:r>
              <w:rPr/>
              <w:t>Non-compete – GPMS &amp; Nexus</w:t>
            </w:r>
          </w:p>
        </w:tc>
        <w:tc>
          <w:tcPr>
            <w:tcW w:w="950" w:type="dxa"/>
            <w:tcBorders/>
            <w:shd w:fill="D5EAEA" w:val="clear"/>
            <w:tcMar>
              <w:bottom w:w="0" w:type="dxa"/>
            </w:tcMar>
            <w:vAlign w:val="center"/>
          </w:tcPr>
          <w:p>
            <w:pPr>
              <w:pStyle w:val="TableContents"/>
              <w:bidi w:val="0"/>
              <w:spacing w:before="0" w:after="283"/>
              <w:jc w:val="right"/>
              <w:rPr/>
            </w:pPr>
            <w:r>
              <w:rPr/>
              <w:tab/>
              <w:t>5,480</w:t>
              <w:tab/>
            </w:r>
          </w:p>
        </w:tc>
        <w:tc>
          <w:tcPr>
            <w:tcW w:w="1070" w:type="dxa"/>
            <w:tcBorders/>
            <w:shd w:fill="D5EAEA" w:val="clear"/>
            <w:tcMar>
              <w:bottom w:w="0" w:type="dxa"/>
            </w:tcMar>
            <w:vAlign w:val="center"/>
          </w:tcPr>
          <w:p>
            <w:pPr>
              <w:pStyle w:val="TableContents"/>
              <w:bidi w:val="0"/>
              <w:spacing w:before="0" w:after="283"/>
              <w:jc w:val="right"/>
              <w:rPr/>
            </w:pPr>
            <w:r>
              <w:rPr/>
              <w:tab/>
              <w:t>—</w:t>
              <w:tab/>
            </w:r>
          </w:p>
        </w:tc>
        <w:tc>
          <w:tcPr>
            <w:tcW w:w="1205" w:type="dxa"/>
            <w:tcBorders/>
            <w:shd w:fill="D5EAEA" w:val="clear"/>
            <w:tcMar>
              <w:bottom w:w="0" w:type="dxa"/>
            </w:tcMar>
            <w:vAlign w:val="center"/>
          </w:tcPr>
          <w:p>
            <w:pPr>
              <w:pStyle w:val="TableContents"/>
              <w:bidi w:val="0"/>
              <w:spacing w:before="0" w:after="283"/>
              <w:jc w:val="right"/>
              <w:rPr/>
            </w:pPr>
            <w:r>
              <w:rPr/>
              <w:tab/>
              <w:t>—</w:t>
              <w:tab/>
            </w:r>
          </w:p>
        </w:tc>
        <w:tc>
          <w:tcPr>
            <w:tcW w:w="815" w:type="dxa"/>
            <w:tcBorders/>
            <w:shd w:fill="D5EAEA" w:val="clear"/>
            <w:tcMar>
              <w:bottom w:w="0" w:type="dxa"/>
            </w:tcMar>
            <w:vAlign w:val="center"/>
          </w:tcPr>
          <w:p>
            <w:pPr>
              <w:pStyle w:val="TableContents"/>
              <w:bidi w:val="0"/>
              <w:spacing w:before="0" w:after="283"/>
              <w:jc w:val="right"/>
              <w:rPr/>
            </w:pPr>
            <w:r>
              <w:rPr/>
              <w:tab/>
              <w:t>483</w:t>
              <w:tab/>
            </w:r>
          </w:p>
        </w:tc>
        <w:tc>
          <w:tcPr>
            <w:tcW w:w="965" w:type="dxa"/>
            <w:tcBorders/>
            <w:shd w:fill="D5EAEA" w:val="clear"/>
            <w:tcMar>
              <w:bottom w:w="0" w:type="dxa"/>
            </w:tcMar>
            <w:vAlign w:val="center"/>
          </w:tcPr>
          <w:p>
            <w:pPr>
              <w:pStyle w:val="TableContents"/>
              <w:bidi w:val="0"/>
              <w:spacing w:before="0" w:after="283"/>
              <w:jc w:val="right"/>
              <w:rPr/>
            </w:pPr>
            <w:r>
              <w:rPr/>
              <w:tab/>
              <w:t>5,963</w:t>
              <w:tab/>
            </w:r>
          </w:p>
        </w:tc>
      </w:tr>
      <w:tr>
        <w:trPr/>
        <w:tc>
          <w:tcPr>
            <w:tcW w:w="4325" w:type="dxa"/>
            <w:tcBorders/>
            <w:shd w:fill="FFFFFF" w:val="clear"/>
            <w:tcMar>
              <w:bottom w:w="0" w:type="dxa"/>
            </w:tcMar>
            <w:vAlign w:val="center"/>
          </w:tcPr>
          <w:p>
            <w:pPr>
              <w:pStyle w:val="TableContents"/>
              <w:bidi w:val="0"/>
              <w:spacing w:before="0" w:after="283"/>
              <w:jc w:val="left"/>
              <w:rPr/>
            </w:pPr>
            <w:r>
              <w:rPr/>
              <w:t>Other</w:t>
            </w:r>
          </w:p>
        </w:tc>
        <w:tc>
          <w:tcPr>
            <w:tcW w:w="950" w:type="dxa"/>
            <w:tcBorders>
              <w:bottom w:val="single" w:sz="8" w:space="0" w:color="000000"/>
            </w:tcBorders>
            <w:shd w:fill="FFFFFF" w:val="clear"/>
            <w:vAlign w:val="center"/>
          </w:tcPr>
          <w:p>
            <w:pPr>
              <w:pStyle w:val="TableContents"/>
              <w:bidi w:val="0"/>
              <w:spacing w:before="0" w:after="283"/>
              <w:jc w:val="right"/>
              <w:rPr/>
            </w:pPr>
            <w:r>
              <w:rPr/>
              <w:tab/>
              <w:t>—</w:t>
              <w:tab/>
            </w:r>
          </w:p>
        </w:tc>
        <w:tc>
          <w:tcPr>
            <w:tcW w:w="1070" w:type="dxa"/>
            <w:tcBorders>
              <w:bottom w:val="single" w:sz="8" w:space="0" w:color="000000"/>
            </w:tcBorders>
            <w:shd w:fill="FFFFFF" w:val="clear"/>
            <w:vAlign w:val="center"/>
          </w:tcPr>
          <w:p>
            <w:pPr>
              <w:pStyle w:val="TableContents"/>
              <w:bidi w:val="0"/>
              <w:spacing w:before="0" w:after="283"/>
              <w:jc w:val="right"/>
              <w:rPr/>
            </w:pPr>
            <w:r>
              <w:rPr/>
              <w:tab/>
              <w:t>85</w:t>
              <w:tab/>
            </w:r>
          </w:p>
        </w:tc>
        <w:tc>
          <w:tcPr>
            <w:tcW w:w="1205" w:type="dxa"/>
            <w:tcBorders>
              <w:bottom w:val="single" w:sz="8" w:space="0" w:color="000000"/>
            </w:tcBorders>
            <w:shd w:fill="FFFFFF" w:val="clear"/>
            <w:vAlign w:val="center"/>
          </w:tcPr>
          <w:p>
            <w:pPr>
              <w:pStyle w:val="TableContents"/>
              <w:bidi w:val="0"/>
              <w:spacing w:before="0" w:after="283"/>
              <w:jc w:val="right"/>
              <w:rPr/>
            </w:pPr>
            <w:r>
              <w:rPr/>
              <w:tab/>
              <w:t>—</w:t>
              <w:tab/>
            </w:r>
          </w:p>
        </w:tc>
        <w:tc>
          <w:tcPr>
            <w:tcW w:w="815" w:type="dxa"/>
            <w:tcBorders>
              <w:bottom w:val="single" w:sz="8" w:space="0" w:color="000000"/>
            </w:tcBorders>
            <w:shd w:fill="FFFFFF" w:val="clear"/>
            <w:vAlign w:val="center"/>
          </w:tcPr>
          <w:p>
            <w:pPr>
              <w:pStyle w:val="TableContents"/>
              <w:bidi w:val="0"/>
              <w:spacing w:before="0" w:after="283"/>
              <w:jc w:val="right"/>
              <w:rPr/>
            </w:pPr>
            <w:r>
              <w:rPr/>
              <w:tab/>
              <w:t>3</w:t>
              <w:tab/>
            </w:r>
          </w:p>
        </w:tc>
        <w:tc>
          <w:tcPr>
            <w:tcW w:w="965" w:type="dxa"/>
            <w:tcBorders>
              <w:bottom w:val="single" w:sz="8" w:space="0" w:color="000000"/>
            </w:tcBorders>
            <w:shd w:fill="FFFFFF" w:val="clear"/>
            <w:vAlign w:val="center"/>
          </w:tcPr>
          <w:p>
            <w:pPr>
              <w:pStyle w:val="TableContents"/>
              <w:bidi w:val="0"/>
              <w:spacing w:before="0" w:after="283"/>
              <w:jc w:val="right"/>
              <w:rPr/>
            </w:pPr>
            <w:r>
              <w:rPr/>
              <w:tab/>
              <w:t>88</w:t>
              <w:tab/>
            </w:r>
          </w:p>
        </w:tc>
      </w:tr>
      <w:tr>
        <w:trPr/>
        <w:tc>
          <w:tcPr>
            <w:tcW w:w="4325" w:type="dxa"/>
            <w:tcBorders/>
            <w:shd w:fill="D5EAEA" w:val="clear"/>
            <w:tcMar>
              <w:bottom w:w="0" w:type="dxa"/>
            </w:tcMar>
            <w:vAlign w:val="center"/>
          </w:tcPr>
          <w:p>
            <w:pPr>
              <w:pStyle w:val="TableContents"/>
              <w:bidi w:val="0"/>
              <w:spacing w:before="0" w:after="283"/>
              <w:jc w:val="left"/>
              <w:rPr>
                <w:b/>
              </w:rPr>
            </w:pPr>
            <w:r>
              <w:rPr>
                <w:b/>
              </w:rPr>
              <w:t>Total - Cost of intangible assets</w:t>
            </w:r>
          </w:p>
        </w:tc>
        <w:tc>
          <w:tcPr>
            <w:tcW w:w="950" w:type="dxa"/>
            <w:tcBorders>
              <w:bottom w:val="double" w:sz="6" w:space="0" w:color="000000"/>
            </w:tcBorders>
            <w:shd w:fill="D5EAEA" w:val="clear"/>
            <w:vAlign w:val="center"/>
          </w:tcPr>
          <w:p>
            <w:pPr>
              <w:pStyle w:val="TableContents"/>
              <w:bidi w:val="0"/>
              <w:spacing w:before="0" w:after="283"/>
              <w:jc w:val="right"/>
              <w:rPr>
                <w:b/>
              </w:rPr>
            </w:pPr>
            <w:r>
              <w:rPr>
                <w:b/>
              </w:rPr>
              <w:tab/>
              <w:t>833,190</w:t>
              <w:tab/>
            </w:r>
          </w:p>
        </w:tc>
        <w:tc>
          <w:tcPr>
            <w:tcW w:w="1070" w:type="dxa"/>
            <w:tcBorders>
              <w:bottom w:val="double" w:sz="6" w:space="0" w:color="000000"/>
            </w:tcBorders>
            <w:shd w:fill="D5EAEA" w:val="clear"/>
            <w:vAlign w:val="center"/>
          </w:tcPr>
          <w:p>
            <w:pPr>
              <w:pStyle w:val="TableContents"/>
              <w:bidi w:val="0"/>
              <w:spacing w:before="0" w:after="283"/>
              <w:jc w:val="right"/>
              <w:rPr>
                <w:b/>
              </w:rPr>
            </w:pPr>
            <w:r>
              <w:rPr>
                <w:b/>
              </w:rPr>
              <w:tab/>
              <w:t>44,615</w:t>
              <w:tab/>
            </w:r>
          </w:p>
        </w:tc>
        <w:tc>
          <w:tcPr>
            <w:tcW w:w="1205" w:type="dxa"/>
            <w:tcBorders>
              <w:bottom w:val="double" w:sz="6" w:space="0" w:color="000000"/>
            </w:tcBorders>
            <w:shd w:fill="D5EAEA" w:val="clear"/>
            <w:vAlign w:val="center"/>
          </w:tcPr>
          <w:p>
            <w:pPr>
              <w:pStyle w:val="TableContents"/>
              <w:bidi w:val="0"/>
              <w:spacing w:before="0" w:after="283"/>
              <w:jc w:val="right"/>
              <w:rPr>
                <w:b/>
              </w:rPr>
            </w:pPr>
            <w:r>
              <w:rPr>
                <w:b/>
              </w:rPr>
              <w:tab/>
              <w:t>61,225</w:t>
              <w:tab/>
            </w:r>
          </w:p>
        </w:tc>
        <w:tc>
          <w:tcPr>
            <w:tcW w:w="815" w:type="dxa"/>
            <w:tcBorders>
              <w:bottom w:val="double" w:sz="6" w:space="0" w:color="000000"/>
            </w:tcBorders>
            <w:shd w:fill="D5EAEA" w:val="clear"/>
            <w:vAlign w:val="center"/>
          </w:tcPr>
          <w:p>
            <w:pPr>
              <w:pStyle w:val="TableContents"/>
              <w:bidi w:val="0"/>
              <w:spacing w:before="0" w:after="283"/>
              <w:jc w:val="right"/>
              <w:rPr>
                <w:b/>
              </w:rPr>
            </w:pPr>
            <w:r>
              <w:rPr>
                <w:b/>
              </w:rPr>
              <w:tab/>
              <w:t>59,117</w:t>
              <w:tab/>
            </w:r>
          </w:p>
        </w:tc>
        <w:tc>
          <w:tcPr>
            <w:tcW w:w="965" w:type="dxa"/>
            <w:tcBorders>
              <w:bottom w:val="double" w:sz="6" w:space="0" w:color="000000"/>
            </w:tcBorders>
            <w:shd w:fill="D5EAEA" w:val="clear"/>
            <w:vAlign w:val="center"/>
          </w:tcPr>
          <w:p>
            <w:pPr>
              <w:pStyle w:val="TableContents"/>
              <w:bidi w:val="0"/>
              <w:spacing w:before="0" w:after="283"/>
              <w:jc w:val="right"/>
              <w:rPr>
                <w:b/>
              </w:rPr>
            </w:pPr>
            <w:r>
              <w:rPr>
                <w:b/>
              </w:rPr>
              <w:tab/>
              <w:t>998,147</w:t>
              <w:tab/>
            </w:r>
          </w:p>
        </w:tc>
      </w:tr>
      <w:tr>
        <w:trPr/>
        <w:tc>
          <w:tcPr>
            <w:tcW w:w="432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bottom w:val="single" w:sz="8" w:space="0" w:color="000000"/>
            </w:tcBorders>
            <w:shd w:fill="FFFFFF" w:val="clear"/>
            <w:vAlign w:val="center"/>
          </w:tcPr>
          <w:p>
            <w:pPr>
              <w:pStyle w:val="TableContents"/>
              <w:bidi w:val="0"/>
              <w:spacing w:before="0" w:after="283"/>
              <w:jc w:val="center"/>
              <w:rPr/>
            </w:pPr>
            <w:r>
              <w:rPr/>
              <w:t> </w:t>
            </w:r>
          </w:p>
        </w:tc>
        <w:tc>
          <w:tcPr>
            <w:tcW w:w="5005" w:type="dxa"/>
            <w:gridSpan w:val="5"/>
            <w:tcBorders>
              <w:bottom w:val="single" w:sz="8" w:space="0" w:color="000000"/>
            </w:tcBorders>
            <w:shd w:fill="FFFFFF" w:val="clear"/>
            <w:vAlign w:val="center"/>
          </w:tcPr>
          <w:p>
            <w:pPr>
              <w:pStyle w:val="TableContents"/>
              <w:bidi w:val="0"/>
              <w:spacing w:before="0" w:after="283"/>
              <w:jc w:val="center"/>
              <w:rPr>
                <w:b/>
              </w:rPr>
            </w:pPr>
            <w:r>
              <w:rPr>
                <w:b/>
              </w:rPr>
              <w:t>December 31, 2025</w:t>
            </w:r>
          </w:p>
        </w:tc>
      </w:tr>
      <w:tr>
        <w:trPr/>
        <w:tc>
          <w:tcPr>
            <w:tcW w:w="4325" w:type="dxa"/>
            <w:tcBorders>
              <w:bottom w:val="single" w:sz="8" w:space="0" w:color="000000"/>
            </w:tcBorders>
            <w:shd w:fill="FFFFFF" w:val="clear"/>
            <w:vAlign w:val="center"/>
          </w:tcPr>
          <w:p>
            <w:pPr>
              <w:pStyle w:val="TableContents"/>
              <w:bidi w:val="0"/>
              <w:spacing w:before="0" w:after="283"/>
              <w:jc w:val="left"/>
              <w:rPr>
                <w:b/>
                <w:i/>
              </w:rPr>
            </w:pPr>
            <w:r>
              <w:rPr>
                <w:b/>
                <w:i/>
              </w:rPr>
              <w:t>Changes in accumulated amortization</w:t>
            </w:r>
          </w:p>
        </w:tc>
        <w:tc>
          <w:tcPr>
            <w:tcW w:w="95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1070" w:type="dxa"/>
            <w:tcBorders>
              <w:bottom w:val="single" w:sz="8" w:space="0" w:color="000000"/>
            </w:tcBorders>
            <w:shd w:fill="FFFFFF" w:val="clear"/>
            <w:vAlign w:val="center"/>
          </w:tcPr>
          <w:p>
            <w:pPr>
              <w:pStyle w:val="TableContents"/>
              <w:bidi w:val="0"/>
              <w:spacing w:before="0" w:after="283"/>
              <w:jc w:val="center"/>
              <w:rPr>
                <w:b/>
              </w:rPr>
            </w:pPr>
            <w:r>
              <w:rPr>
                <w:b/>
              </w:rPr>
              <w:t xml:space="preserve">Additions </w:t>
            </w:r>
          </w:p>
        </w:tc>
        <w:tc>
          <w:tcPr>
            <w:tcW w:w="120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combinations</w:t>
            </w:r>
          </w:p>
        </w:tc>
        <w:tc>
          <w:tcPr>
            <w:tcW w:w="815" w:type="dxa"/>
            <w:tcBorders>
              <w:bottom w:val="single" w:sz="8" w:space="0" w:color="000000"/>
            </w:tcBorders>
            <w:shd w:fill="FFFFFF" w:val="clear"/>
            <w:vAlign w:val="center"/>
          </w:tcPr>
          <w:p>
            <w:pPr>
              <w:pStyle w:val="TableContents"/>
              <w:bidi w:val="0"/>
              <w:spacing w:before="0" w:after="283"/>
              <w:jc w:val="center"/>
              <w:rPr>
                <w:b/>
              </w:rPr>
            </w:pPr>
            <w:r>
              <w:rPr>
                <w:b/>
              </w:rPr>
              <w:t>CTA</w:t>
            </w:r>
            <w:r>
              <w:rPr>
                <w:b/>
                <w:position w:val="8"/>
                <w:sz w:val="19"/>
              </w:rPr>
              <w:t xml:space="preserve">(*) </w:t>
            </w:r>
          </w:p>
        </w:tc>
        <w:tc>
          <w:tcPr>
            <w:tcW w:w="96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w:t>
            </w:r>
          </w:p>
        </w:tc>
      </w:tr>
      <w:tr>
        <w:trPr/>
        <w:tc>
          <w:tcPr>
            <w:tcW w:w="4325" w:type="dxa"/>
            <w:tcBorders/>
            <w:shd w:fill="D5EAEA" w:val="clear"/>
            <w:tcMar>
              <w:bottom w:w="0" w:type="dxa"/>
            </w:tcMar>
            <w:vAlign w:val="center"/>
          </w:tcPr>
          <w:p>
            <w:pPr>
              <w:pStyle w:val="TableContents"/>
              <w:bidi w:val="0"/>
              <w:spacing w:before="0" w:after="283"/>
              <w:jc w:val="left"/>
              <w:rPr/>
            </w:pPr>
            <w:r>
              <w:rPr/>
              <w:t> </w:t>
            </w:r>
          </w:p>
        </w:tc>
        <w:tc>
          <w:tcPr>
            <w:tcW w:w="950" w:type="dxa"/>
            <w:tcBorders/>
            <w:shd w:fill="D5EAEA" w:val="clear"/>
            <w:tcMar>
              <w:bottom w:w="0" w:type="dxa"/>
            </w:tcMar>
            <w:vAlign w:val="center"/>
          </w:tcPr>
          <w:p>
            <w:pPr>
              <w:pStyle w:val="TableContents"/>
              <w:bidi w:val="0"/>
              <w:spacing w:before="0" w:after="283"/>
              <w:jc w:val="right"/>
              <w:rPr/>
            </w:pPr>
            <w:r>
              <w:rPr/>
              <w:t> </w:t>
            </w:r>
          </w:p>
        </w:tc>
        <w:tc>
          <w:tcPr>
            <w:tcW w:w="1070" w:type="dxa"/>
            <w:tcBorders/>
            <w:shd w:fill="D5EAEA" w:val="clear"/>
            <w:tcMar>
              <w:bottom w:w="0" w:type="dxa"/>
            </w:tcMar>
            <w:vAlign w:val="center"/>
          </w:tcPr>
          <w:p>
            <w:pPr>
              <w:pStyle w:val="TableContents"/>
              <w:bidi w:val="0"/>
              <w:spacing w:before="0" w:after="283"/>
              <w:jc w:val="right"/>
              <w:rPr/>
            </w:pPr>
            <w:r>
              <w:rPr/>
              <w:t> </w:t>
            </w:r>
          </w:p>
        </w:tc>
        <w:tc>
          <w:tcPr>
            <w:tcW w:w="1205" w:type="dxa"/>
            <w:tcBorders/>
            <w:shd w:fill="D5EAEA" w:val="clear"/>
            <w:tcMar>
              <w:bottom w:w="0" w:type="dxa"/>
            </w:tcMar>
            <w:vAlign w:val="center"/>
          </w:tcPr>
          <w:p>
            <w:pPr>
              <w:pStyle w:val="TableContents"/>
              <w:bidi w:val="0"/>
              <w:spacing w:before="0" w:after="283"/>
              <w:jc w:val="right"/>
              <w:rPr/>
            </w:pPr>
            <w:r>
              <w:rPr/>
              <w:t> </w:t>
            </w:r>
          </w:p>
        </w:tc>
        <w:tc>
          <w:tcPr>
            <w:tcW w:w="815" w:type="dxa"/>
            <w:tcBorders/>
            <w:shd w:fill="D5EAEA" w:val="clear"/>
            <w:tcMar>
              <w:bottom w:w="0" w:type="dxa"/>
            </w:tcMar>
            <w:vAlign w:val="center"/>
          </w:tcPr>
          <w:p>
            <w:pPr>
              <w:pStyle w:val="TableContents"/>
              <w:bidi w:val="0"/>
              <w:spacing w:before="0" w:after="283"/>
              <w:jc w:val="right"/>
              <w:rPr/>
            </w:pPr>
            <w:r>
              <w:rPr/>
              <w:t> </w:t>
            </w:r>
          </w:p>
        </w:tc>
        <w:tc>
          <w:tcPr>
            <w:tcW w:w="965" w:type="dxa"/>
            <w:tcBorders/>
            <w:shd w:fill="D5EAEA" w:val="clear"/>
            <w:tcMar>
              <w:bottom w:w="0" w:type="dxa"/>
            </w:tcMar>
            <w:vAlign w:val="center"/>
          </w:tcPr>
          <w:p>
            <w:pPr>
              <w:pStyle w:val="TableContents"/>
              <w:bidi w:val="0"/>
              <w:spacing w:before="0" w:after="283"/>
              <w:jc w:val="right"/>
              <w:rPr/>
            </w:pPr>
            <w:r>
              <w:rPr/>
              <w:t> </w:t>
            </w:r>
          </w:p>
        </w:tc>
      </w:tr>
      <w:tr>
        <w:trPr/>
        <w:tc>
          <w:tcPr>
            <w:tcW w:w="4325" w:type="dxa"/>
            <w:tcBorders/>
            <w:shd w:fill="FFFFFF" w:val="clear"/>
            <w:tcMar>
              <w:bottom w:w="0" w:type="dxa"/>
            </w:tcMar>
            <w:vAlign w:val="center"/>
          </w:tcPr>
          <w:p>
            <w:pPr>
              <w:pStyle w:val="TableContents"/>
              <w:bidi w:val="0"/>
              <w:spacing w:before="0" w:after="283"/>
              <w:jc w:val="left"/>
              <w:rPr/>
            </w:pPr>
            <w:r>
              <w:rPr/>
              <w:t xml:space="preserve">(-) Placement agents (a) </w:t>
            </w:r>
          </w:p>
        </w:tc>
        <w:tc>
          <w:tcPr>
            <w:tcW w:w="950" w:type="dxa"/>
            <w:tcBorders/>
            <w:shd w:fill="FFFFFF" w:val="clear"/>
            <w:tcMar>
              <w:bottom w:w="0" w:type="dxa"/>
            </w:tcMar>
            <w:vAlign w:val="center"/>
          </w:tcPr>
          <w:p>
            <w:pPr>
              <w:pStyle w:val="TableContents"/>
              <w:bidi w:val="0"/>
              <w:spacing w:before="0" w:after="283"/>
              <w:jc w:val="right"/>
              <w:rPr/>
            </w:pPr>
            <w:r>
              <w:rPr/>
              <w:tab/>
              <w:t>(33,419)</w:t>
            </w:r>
          </w:p>
        </w:tc>
        <w:tc>
          <w:tcPr>
            <w:tcW w:w="1070" w:type="dxa"/>
            <w:tcBorders/>
            <w:shd w:fill="FFFFFF" w:val="clear"/>
            <w:tcMar>
              <w:bottom w:w="0" w:type="dxa"/>
            </w:tcMar>
            <w:vAlign w:val="center"/>
          </w:tcPr>
          <w:p>
            <w:pPr>
              <w:pStyle w:val="TableContents"/>
              <w:bidi w:val="0"/>
              <w:spacing w:before="0" w:after="283"/>
              <w:jc w:val="right"/>
              <w:rPr/>
            </w:pPr>
            <w:r>
              <w:rPr/>
              <w:tab/>
              <w:t>(2,696)</w:t>
            </w:r>
          </w:p>
        </w:tc>
        <w:tc>
          <w:tcPr>
            <w:tcW w:w="1205" w:type="dxa"/>
            <w:tcBorders/>
            <w:shd w:fill="FFFFFF" w:val="clear"/>
            <w:tcMar>
              <w:bottom w:w="0" w:type="dxa"/>
            </w:tcMar>
            <w:vAlign w:val="center"/>
          </w:tcPr>
          <w:p>
            <w:pPr>
              <w:pStyle w:val="TableContents"/>
              <w:bidi w:val="0"/>
              <w:spacing w:before="0" w:after="283"/>
              <w:jc w:val="right"/>
              <w:rPr/>
            </w:pPr>
            <w:r>
              <w:rPr/>
              <w:tab/>
              <w:t>—</w:t>
              <w:tab/>
            </w:r>
          </w:p>
        </w:tc>
        <w:tc>
          <w:tcPr>
            <w:tcW w:w="815" w:type="dxa"/>
            <w:tcBorders/>
            <w:shd w:fill="FFFFFF" w:val="clear"/>
            <w:tcMar>
              <w:bottom w:w="0" w:type="dxa"/>
            </w:tcMar>
            <w:vAlign w:val="center"/>
          </w:tcPr>
          <w:p>
            <w:pPr>
              <w:pStyle w:val="TableContents"/>
              <w:bidi w:val="0"/>
              <w:spacing w:before="0" w:after="283"/>
              <w:jc w:val="right"/>
              <w:rPr/>
            </w:pPr>
            <w:r>
              <w:rPr/>
              <w:tab/>
              <w:t>(366)</w:t>
            </w:r>
          </w:p>
        </w:tc>
        <w:tc>
          <w:tcPr>
            <w:tcW w:w="965" w:type="dxa"/>
            <w:tcBorders/>
            <w:shd w:fill="FFFFFF" w:val="clear"/>
            <w:tcMar>
              <w:bottom w:w="0" w:type="dxa"/>
            </w:tcMar>
            <w:vAlign w:val="center"/>
          </w:tcPr>
          <w:p>
            <w:pPr>
              <w:pStyle w:val="TableContents"/>
              <w:bidi w:val="0"/>
              <w:spacing w:before="0" w:after="283"/>
              <w:jc w:val="right"/>
              <w:rPr/>
            </w:pPr>
            <w:r>
              <w:rPr/>
              <w:tab/>
              <w:t>(36,481)</w:t>
            </w:r>
          </w:p>
        </w:tc>
      </w:tr>
      <w:tr>
        <w:trPr/>
        <w:tc>
          <w:tcPr>
            <w:tcW w:w="4325" w:type="dxa"/>
            <w:tcBorders/>
            <w:shd w:fill="D5EAEA" w:val="clear"/>
            <w:tcMar>
              <w:bottom w:w="0" w:type="dxa"/>
            </w:tcMar>
            <w:vAlign w:val="center"/>
          </w:tcPr>
          <w:p>
            <w:pPr>
              <w:pStyle w:val="TableContents"/>
              <w:bidi w:val="0"/>
              <w:spacing w:before="0" w:after="283"/>
              <w:jc w:val="left"/>
              <w:rPr/>
            </w:pPr>
            <w:r>
              <w:rPr/>
              <w:t xml:space="preserve">(-) Contractual rights (b) </w:t>
            </w:r>
          </w:p>
        </w:tc>
        <w:tc>
          <w:tcPr>
            <w:tcW w:w="950" w:type="dxa"/>
            <w:tcBorders/>
            <w:shd w:fill="D5EAEA" w:val="clear"/>
            <w:tcMar>
              <w:bottom w:w="0" w:type="dxa"/>
            </w:tcMar>
            <w:vAlign w:val="center"/>
          </w:tcPr>
          <w:p>
            <w:pPr>
              <w:pStyle w:val="TableContents"/>
              <w:bidi w:val="0"/>
              <w:spacing w:before="0" w:after="283"/>
              <w:jc w:val="right"/>
              <w:rPr/>
            </w:pPr>
            <w:r>
              <w:rPr/>
              <w:tab/>
              <w:t>(48,516)</w:t>
            </w:r>
          </w:p>
        </w:tc>
        <w:tc>
          <w:tcPr>
            <w:tcW w:w="1070" w:type="dxa"/>
            <w:tcBorders/>
            <w:shd w:fill="D5EAEA" w:val="clear"/>
            <w:tcMar>
              <w:bottom w:w="0" w:type="dxa"/>
            </w:tcMar>
            <w:vAlign w:val="center"/>
          </w:tcPr>
          <w:p>
            <w:pPr>
              <w:pStyle w:val="TableContents"/>
              <w:bidi w:val="0"/>
              <w:spacing w:before="0" w:after="283"/>
              <w:jc w:val="right"/>
              <w:rPr/>
            </w:pPr>
            <w:r>
              <w:rPr/>
              <w:tab/>
              <w:t>(15,716)</w:t>
            </w:r>
          </w:p>
        </w:tc>
        <w:tc>
          <w:tcPr>
            <w:tcW w:w="1205" w:type="dxa"/>
            <w:tcBorders/>
            <w:shd w:fill="D5EAEA" w:val="clear"/>
            <w:tcMar>
              <w:bottom w:w="0" w:type="dxa"/>
            </w:tcMar>
            <w:vAlign w:val="center"/>
          </w:tcPr>
          <w:p>
            <w:pPr>
              <w:pStyle w:val="TableContents"/>
              <w:bidi w:val="0"/>
              <w:spacing w:before="0" w:after="283"/>
              <w:jc w:val="right"/>
              <w:rPr/>
            </w:pPr>
            <w:r>
              <w:rPr/>
              <w:tab/>
              <w:t>—</w:t>
              <w:tab/>
            </w:r>
          </w:p>
        </w:tc>
        <w:tc>
          <w:tcPr>
            <w:tcW w:w="815" w:type="dxa"/>
            <w:tcBorders/>
            <w:shd w:fill="D5EAEA" w:val="clear"/>
            <w:tcMar>
              <w:bottom w:w="0" w:type="dxa"/>
            </w:tcMar>
            <w:vAlign w:val="center"/>
          </w:tcPr>
          <w:p>
            <w:pPr>
              <w:pStyle w:val="TableContents"/>
              <w:bidi w:val="0"/>
              <w:spacing w:before="0" w:after="283"/>
              <w:jc w:val="right"/>
              <w:rPr/>
            </w:pPr>
            <w:r>
              <w:rPr/>
              <w:tab/>
              <w:t>2,260</w:t>
              <w:tab/>
            </w:r>
          </w:p>
        </w:tc>
        <w:tc>
          <w:tcPr>
            <w:tcW w:w="965" w:type="dxa"/>
            <w:tcBorders/>
            <w:shd w:fill="D5EAEA" w:val="clear"/>
            <w:tcMar>
              <w:bottom w:w="0" w:type="dxa"/>
            </w:tcMar>
            <w:vAlign w:val="center"/>
          </w:tcPr>
          <w:p>
            <w:pPr>
              <w:pStyle w:val="TableContents"/>
              <w:bidi w:val="0"/>
              <w:spacing w:before="0" w:after="283"/>
              <w:jc w:val="right"/>
              <w:rPr/>
            </w:pPr>
            <w:r>
              <w:rPr/>
              <w:tab/>
              <w:t>(61,972)</w:t>
            </w:r>
          </w:p>
        </w:tc>
      </w:tr>
      <w:tr>
        <w:trPr/>
        <w:tc>
          <w:tcPr>
            <w:tcW w:w="4325" w:type="dxa"/>
            <w:tcBorders/>
            <w:shd w:fill="FFFFFF" w:val="clear"/>
            <w:tcMar>
              <w:bottom w:w="0" w:type="dxa"/>
            </w:tcMar>
            <w:vAlign w:val="center"/>
          </w:tcPr>
          <w:p>
            <w:pPr>
              <w:pStyle w:val="TableContents"/>
              <w:bidi w:val="0"/>
              <w:spacing w:before="0" w:after="283"/>
              <w:jc w:val="left"/>
              <w:rPr/>
            </w:pPr>
            <w:r>
              <w:rPr/>
              <w:t>(-) Non-contractual customer relationships (c)</w:t>
            </w:r>
          </w:p>
        </w:tc>
        <w:tc>
          <w:tcPr>
            <w:tcW w:w="950" w:type="dxa"/>
            <w:tcBorders/>
            <w:shd w:fill="FFFFFF" w:val="clear"/>
            <w:tcMar>
              <w:bottom w:w="0" w:type="dxa"/>
            </w:tcMar>
            <w:vAlign w:val="center"/>
          </w:tcPr>
          <w:p>
            <w:pPr>
              <w:pStyle w:val="TableContents"/>
              <w:bidi w:val="0"/>
              <w:spacing w:before="0" w:after="283"/>
              <w:jc w:val="right"/>
              <w:rPr/>
            </w:pPr>
            <w:r>
              <w:rPr/>
              <w:tab/>
              <w:t>(35,957)</w:t>
            </w:r>
          </w:p>
        </w:tc>
        <w:tc>
          <w:tcPr>
            <w:tcW w:w="1070" w:type="dxa"/>
            <w:tcBorders/>
            <w:shd w:fill="FFFFFF" w:val="clear"/>
            <w:tcMar>
              <w:bottom w:w="0" w:type="dxa"/>
            </w:tcMar>
            <w:vAlign w:val="center"/>
          </w:tcPr>
          <w:p>
            <w:pPr>
              <w:pStyle w:val="TableContents"/>
              <w:bidi w:val="0"/>
              <w:spacing w:before="0" w:after="283"/>
              <w:jc w:val="right"/>
              <w:rPr/>
            </w:pPr>
            <w:r>
              <w:rPr/>
              <w:tab/>
              <w:t>(13,886)</w:t>
            </w:r>
          </w:p>
        </w:tc>
        <w:tc>
          <w:tcPr>
            <w:tcW w:w="1205" w:type="dxa"/>
            <w:tcBorders/>
            <w:shd w:fill="FFFFFF" w:val="clear"/>
            <w:tcMar>
              <w:bottom w:w="0" w:type="dxa"/>
            </w:tcMar>
            <w:vAlign w:val="center"/>
          </w:tcPr>
          <w:p>
            <w:pPr>
              <w:pStyle w:val="TableContents"/>
              <w:bidi w:val="0"/>
              <w:spacing w:before="0" w:after="283"/>
              <w:jc w:val="right"/>
              <w:rPr/>
            </w:pPr>
            <w:r>
              <w:rPr/>
              <w:tab/>
              <w:t>—</w:t>
              <w:tab/>
            </w:r>
          </w:p>
        </w:tc>
        <w:tc>
          <w:tcPr>
            <w:tcW w:w="815" w:type="dxa"/>
            <w:tcBorders/>
            <w:shd w:fill="FFFFFF" w:val="clear"/>
            <w:tcMar>
              <w:bottom w:w="0" w:type="dxa"/>
            </w:tcMar>
            <w:vAlign w:val="center"/>
          </w:tcPr>
          <w:p>
            <w:pPr>
              <w:pStyle w:val="TableContents"/>
              <w:bidi w:val="0"/>
              <w:spacing w:before="0" w:after="283"/>
              <w:jc w:val="right"/>
              <w:rPr/>
            </w:pPr>
            <w:r>
              <w:rPr/>
              <w:tab/>
              <w:t>(2,692)</w:t>
            </w:r>
          </w:p>
        </w:tc>
        <w:tc>
          <w:tcPr>
            <w:tcW w:w="965" w:type="dxa"/>
            <w:tcBorders/>
            <w:shd w:fill="FFFFFF" w:val="clear"/>
            <w:tcMar>
              <w:bottom w:w="0" w:type="dxa"/>
            </w:tcMar>
            <w:vAlign w:val="center"/>
          </w:tcPr>
          <w:p>
            <w:pPr>
              <w:pStyle w:val="TableContents"/>
              <w:bidi w:val="0"/>
              <w:spacing w:before="0" w:after="283"/>
              <w:jc w:val="right"/>
              <w:rPr/>
            </w:pPr>
            <w:r>
              <w:rPr/>
              <w:tab/>
              <w:t>(52,535)</w:t>
            </w:r>
          </w:p>
        </w:tc>
      </w:tr>
      <w:tr>
        <w:trPr/>
        <w:tc>
          <w:tcPr>
            <w:tcW w:w="4325" w:type="dxa"/>
            <w:tcBorders/>
            <w:shd w:fill="D5EAEA" w:val="clear"/>
            <w:tcMar>
              <w:bottom w:w="0" w:type="dxa"/>
            </w:tcMar>
            <w:vAlign w:val="center"/>
          </w:tcPr>
          <w:p>
            <w:pPr>
              <w:pStyle w:val="TableContents"/>
              <w:bidi w:val="0"/>
              <w:spacing w:before="0" w:after="283"/>
              <w:jc w:val="left"/>
              <w:rPr/>
            </w:pPr>
            <w:r>
              <w:rPr/>
              <w:t xml:space="preserve">(-) Software </w:t>
            </w:r>
          </w:p>
        </w:tc>
        <w:tc>
          <w:tcPr>
            <w:tcW w:w="950" w:type="dxa"/>
            <w:tcBorders/>
            <w:shd w:fill="D5EAEA" w:val="clear"/>
            <w:tcMar>
              <w:bottom w:w="0" w:type="dxa"/>
            </w:tcMar>
            <w:vAlign w:val="center"/>
          </w:tcPr>
          <w:p>
            <w:pPr>
              <w:pStyle w:val="TableContents"/>
              <w:bidi w:val="0"/>
              <w:spacing w:before="0" w:after="283"/>
              <w:jc w:val="right"/>
              <w:rPr/>
            </w:pPr>
            <w:r>
              <w:rPr/>
              <w:tab/>
              <w:t>(3,412)</w:t>
            </w:r>
          </w:p>
        </w:tc>
        <w:tc>
          <w:tcPr>
            <w:tcW w:w="1070" w:type="dxa"/>
            <w:tcBorders/>
            <w:shd w:fill="D5EAEA" w:val="clear"/>
            <w:tcMar>
              <w:bottom w:w="0" w:type="dxa"/>
            </w:tcMar>
            <w:vAlign w:val="center"/>
          </w:tcPr>
          <w:p>
            <w:pPr>
              <w:pStyle w:val="TableContents"/>
              <w:bidi w:val="0"/>
              <w:spacing w:before="0" w:after="283"/>
              <w:jc w:val="right"/>
              <w:rPr/>
            </w:pPr>
            <w:r>
              <w:rPr/>
              <w:tab/>
              <w:t>(1,914)</w:t>
            </w:r>
          </w:p>
        </w:tc>
        <w:tc>
          <w:tcPr>
            <w:tcW w:w="1205" w:type="dxa"/>
            <w:tcBorders/>
            <w:shd w:fill="D5EAEA" w:val="clear"/>
            <w:tcMar>
              <w:bottom w:w="0" w:type="dxa"/>
            </w:tcMar>
            <w:vAlign w:val="center"/>
          </w:tcPr>
          <w:p>
            <w:pPr>
              <w:pStyle w:val="TableContents"/>
              <w:bidi w:val="0"/>
              <w:spacing w:before="0" w:after="283"/>
              <w:jc w:val="right"/>
              <w:rPr/>
            </w:pPr>
            <w:r>
              <w:rPr/>
              <w:tab/>
              <w:t>—</w:t>
              <w:tab/>
            </w:r>
          </w:p>
        </w:tc>
        <w:tc>
          <w:tcPr>
            <w:tcW w:w="815" w:type="dxa"/>
            <w:tcBorders/>
            <w:shd w:fill="D5EAEA" w:val="clear"/>
            <w:tcMar>
              <w:bottom w:w="0" w:type="dxa"/>
            </w:tcMar>
            <w:vAlign w:val="center"/>
          </w:tcPr>
          <w:p>
            <w:pPr>
              <w:pStyle w:val="TableContents"/>
              <w:bidi w:val="0"/>
              <w:spacing w:before="0" w:after="283"/>
              <w:jc w:val="right"/>
              <w:rPr/>
            </w:pPr>
            <w:r>
              <w:rPr/>
              <w:tab/>
              <w:t>(377)</w:t>
            </w:r>
          </w:p>
        </w:tc>
        <w:tc>
          <w:tcPr>
            <w:tcW w:w="965" w:type="dxa"/>
            <w:tcBorders/>
            <w:shd w:fill="D5EAEA" w:val="clear"/>
            <w:tcMar>
              <w:bottom w:w="0" w:type="dxa"/>
            </w:tcMar>
            <w:vAlign w:val="center"/>
          </w:tcPr>
          <w:p>
            <w:pPr>
              <w:pStyle w:val="TableContents"/>
              <w:bidi w:val="0"/>
              <w:spacing w:before="0" w:after="283"/>
              <w:jc w:val="right"/>
              <w:rPr/>
            </w:pPr>
            <w:r>
              <w:rPr/>
              <w:tab/>
              <w:t>(5,703)</w:t>
            </w:r>
          </w:p>
        </w:tc>
      </w:tr>
      <w:tr>
        <w:trPr/>
        <w:tc>
          <w:tcPr>
            <w:tcW w:w="4325" w:type="dxa"/>
            <w:tcBorders/>
            <w:shd w:fill="FFFFFF" w:val="clear"/>
            <w:tcMar>
              <w:bottom w:w="0" w:type="dxa"/>
            </w:tcMar>
            <w:vAlign w:val="center"/>
          </w:tcPr>
          <w:p>
            <w:pPr>
              <w:pStyle w:val="TableContents"/>
              <w:bidi w:val="0"/>
              <w:spacing w:before="0" w:after="283"/>
              <w:jc w:val="left"/>
              <w:rPr/>
            </w:pPr>
            <w:r>
              <w:rPr/>
              <w:t>(-) Brands (c)</w:t>
            </w:r>
          </w:p>
        </w:tc>
        <w:tc>
          <w:tcPr>
            <w:tcW w:w="950" w:type="dxa"/>
            <w:tcBorders/>
            <w:shd w:fill="FFFFFF" w:val="clear"/>
            <w:tcMar>
              <w:bottom w:w="0" w:type="dxa"/>
            </w:tcMar>
            <w:vAlign w:val="center"/>
          </w:tcPr>
          <w:p>
            <w:pPr>
              <w:pStyle w:val="TableContents"/>
              <w:bidi w:val="0"/>
              <w:spacing w:before="0" w:after="283"/>
              <w:jc w:val="right"/>
              <w:rPr/>
            </w:pPr>
            <w:r>
              <w:rPr/>
              <w:tab/>
              <w:t>(9,815)</w:t>
            </w:r>
          </w:p>
        </w:tc>
        <w:tc>
          <w:tcPr>
            <w:tcW w:w="1070" w:type="dxa"/>
            <w:tcBorders/>
            <w:shd w:fill="FFFFFF" w:val="clear"/>
            <w:tcMar>
              <w:bottom w:w="0" w:type="dxa"/>
            </w:tcMar>
            <w:vAlign w:val="center"/>
          </w:tcPr>
          <w:p>
            <w:pPr>
              <w:pStyle w:val="TableContents"/>
              <w:bidi w:val="0"/>
              <w:spacing w:before="0" w:after="283"/>
              <w:jc w:val="right"/>
              <w:rPr/>
            </w:pPr>
            <w:r>
              <w:rPr/>
              <w:tab/>
              <w:t>(3,693)</w:t>
            </w:r>
          </w:p>
        </w:tc>
        <w:tc>
          <w:tcPr>
            <w:tcW w:w="1205" w:type="dxa"/>
            <w:tcBorders/>
            <w:shd w:fill="FFFFFF" w:val="clear"/>
            <w:tcMar>
              <w:bottom w:w="0" w:type="dxa"/>
            </w:tcMar>
            <w:vAlign w:val="center"/>
          </w:tcPr>
          <w:p>
            <w:pPr>
              <w:pStyle w:val="TableContents"/>
              <w:bidi w:val="0"/>
              <w:spacing w:before="0" w:after="283"/>
              <w:jc w:val="right"/>
              <w:rPr/>
            </w:pPr>
            <w:r>
              <w:rPr/>
              <w:tab/>
              <w:t>—</w:t>
              <w:tab/>
            </w:r>
          </w:p>
        </w:tc>
        <w:tc>
          <w:tcPr>
            <w:tcW w:w="815" w:type="dxa"/>
            <w:tcBorders/>
            <w:shd w:fill="FFFFFF" w:val="clear"/>
            <w:tcMar>
              <w:bottom w:w="0" w:type="dxa"/>
            </w:tcMar>
            <w:vAlign w:val="center"/>
          </w:tcPr>
          <w:p>
            <w:pPr>
              <w:pStyle w:val="TableContents"/>
              <w:bidi w:val="0"/>
              <w:spacing w:before="0" w:after="283"/>
              <w:jc w:val="right"/>
              <w:rPr/>
            </w:pPr>
            <w:r>
              <w:rPr/>
              <w:tab/>
              <w:t>(640)</w:t>
            </w:r>
          </w:p>
        </w:tc>
        <w:tc>
          <w:tcPr>
            <w:tcW w:w="965" w:type="dxa"/>
            <w:tcBorders/>
            <w:shd w:fill="FFFFFF" w:val="clear"/>
            <w:tcMar>
              <w:bottom w:w="0" w:type="dxa"/>
            </w:tcMar>
            <w:vAlign w:val="center"/>
          </w:tcPr>
          <w:p>
            <w:pPr>
              <w:pStyle w:val="TableContents"/>
              <w:bidi w:val="0"/>
              <w:spacing w:before="0" w:after="283"/>
              <w:jc w:val="right"/>
              <w:rPr/>
            </w:pPr>
            <w:r>
              <w:rPr/>
              <w:tab/>
              <w:t>(14,148)</w:t>
            </w:r>
          </w:p>
        </w:tc>
      </w:tr>
      <w:tr>
        <w:trPr/>
        <w:tc>
          <w:tcPr>
            <w:tcW w:w="4325" w:type="dxa"/>
            <w:tcBorders/>
            <w:shd w:fill="D5EAEA" w:val="clear"/>
            <w:tcMar>
              <w:bottom w:w="0" w:type="dxa"/>
            </w:tcMar>
            <w:vAlign w:val="center"/>
          </w:tcPr>
          <w:p>
            <w:pPr>
              <w:pStyle w:val="TableContents"/>
              <w:bidi w:val="0"/>
              <w:spacing w:before="0" w:after="283"/>
              <w:jc w:val="left"/>
              <w:rPr/>
            </w:pPr>
            <w:r>
              <w:rPr/>
              <w:t xml:space="preserve">(-) Non-compete – GPMS &amp; Nexus </w:t>
            </w:r>
          </w:p>
        </w:tc>
        <w:tc>
          <w:tcPr>
            <w:tcW w:w="950" w:type="dxa"/>
            <w:tcBorders/>
            <w:shd w:fill="D5EAEA" w:val="clear"/>
            <w:tcMar>
              <w:bottom w:w="0" w:type="dxa"/>
            </w:tcMar>
            <w:vAlign w:val="center"/>
          </w:tcPr>
          <w:p>
            <w:pPr>
              <w:pStyle w:val="TableContents"/>
              <w:bidi w:val="0"/>
              <w:spacing w:before="0" w:after="283"/>
              <w:jc w:val="right"/>
              <w:rPr/>
            </w:pPr>
            <w:r>
              <w:rPr/>
              <w:tab/>
              <w:t>(1,205)</w:t>
            </w:r>
          </w:p>
        </w:tc>
        <w:tc>
          <w:tcPr>
            <w:tcW w:w="1070" w:type="dxa"/>
            <w:tcBorders/>
            <w:shd w:fill="D5EAEA" w:val="clear"/>
            <w:tcMar>
              <w:bottom w:w="0" w:type="dxa"/>
            </w:tcMar>
            <w:vAlign w:val="center"/>
          </w:tcPr>
          <w:p>
            <w:pPr>
              <w:pStyle w:val="TableContents"/>
              <w:bidi w:val="0"/>
              <w:spacing w:before="0" w:after="283"/>
              <w:jc w:val="right"/>
              <w:rPr/>
            </w:pPr>
            <w:r>
              <w:rPr/>
              <w:tab/>
              <w:t>(1,801)</w:t>
            </w:r>
          </w:p>
        </w:tc>
        <w:tc>
          <w:tcPr>
            <w:tcW w:w="1205" w:type="dxa"/>
            <w:tcBorders/>
            <w:shd w:fill="D5EAEA" w:val="clear"/>
            <w:tcMar>
              <w:bottom w:w="0" w:type="dxa"/>
            </w:tcMar>
            <w:vAlign w:val="center"/>
          </w:tcPr>
          <w:p>
            <w:pPr>
              <w:pStyle w:val="TableContents"/>
              <w:bidi w:val="0"/>
              <w:spacing w:before="0" w:after="283"/>
              <w:jc w:val="right"/>
              <w:rPr/>
            </w:pPr>
            <w:r>
              <w:rPr/>
              <w:tab/>
              <w:t>—</w:t>
              <w:tab/>
            </w:r>
          </w:p>
        </w:tc>
        <w:tc>
          <w:tcPr>
            <w:tcW w:w="815" w:type="dxa"/>
            <w:tcBorders/>
            <w:shd w:fill="D5EAEA" w:val="clear"/>
            <w:tcMar>
              <w:bottom w:w="0" w:type="dxa"/>
            </w:tcMar>
            <w:vAlign w:val="center"/>
          </w:tcPr>
          <w:p>
            <w:pPr>
              <w:pStyle w:val="TableContents"/>
              <w:bidi w:val="0"/>
              <w:spacing w:before="0" w:after="283"/>
              <w:jc w:val="right"/>
              <w:rPr/>
            </w:pPr>
            <w:r>
              <w:rPr/>
              <w:tab/>
              <w:t>(150)</w:t>
            </w:r>
          </w:p>
        </w:tc>
        <w:tc>
          <w:tcPr>
            <w:tcW w:w="965" w:type="dxa"/>
            <w:tcBorders/>
            <w:shd w:fill="D5EAEA" w:val="clear"/>
            <w:tcMar>
              <w:bottom w:w="0" w:type="dxa"/>
            </w:tcMar>
            <w:vAlign w:val="center"/>
          </w:tcPr>
          <w:p>
            <w:pPr>
              <w:pStyle w:val="TableContents"/>
              <w:bidi w:val="0"/>
              <w:spacing w:before="0" w:after="283"/>
              <w:jc w:val="right"/>
              <w:rPr/>
            </w:pPr>
            <w:r>
              <w:rPr/>
              <w:tab/>
              <w:t>(3,156)</w:t>
            </w:r>
          </w:p>
        </w:tc>
      </w:tr>
      <w:tr>
        <w:trPr/>
        <w:tc>
          <w:tcPr>
            <w:tcW w:w="4325" w:type="dxa"/>
            <w:tcBorders/>
            <w:shd w:fill="FFFFFF" w:val="clear"/>
            <w:tcMar>
              <w:bottom w:w="0" w:type="dxa"/>
            </w:tcMar>
            <w:vAlign w:val="center"/>
          </w:tcPr>
          <w:p>
            <w:pPr>
              <w:pStyle w:val="TableContents"/>
              <w:bidi w:val="0"/>
              <w:spacing w:before="0" w:after="283"/>
              <w:jc w:val="left"/>
              <w:rPr/>
            </w:pPr>
            <w:r>
              <w:rPr/>
              <w:t>(-) Other</w:t>
            </w:r>
          </w:p>
        </w:tc>
        <w:tc>
          <w:tcPr>
            <w:tcW w:w="950" w:type="dxa"/>
            <w:tcBorders>
              <w:bottom w:val="single" w:sz="8" w:space="0" w:color="000000"/>
            </w:tcBorders>
            <w:shd w:fill="FFFFFF" w:val="clear"/>
            <w:vAlign w:val="center"/>
          </w:tcPr>
          <w:p>
            <w:pPr>
              <w:pStyle w:val="TableContents"/>
              <w:bidi w:val="0"/>
              <w:spacing w:before="0" w:after="283"/>
              <w:jc w:val="right"/>
              <w:rPr/>
            </w:pPr>
            <w:r>
              <w:rPr/>
              <w:tab/>
              <w:t>—</w:t>
              <w:tab/>
            </w:r>
          </w:p>
        </w:tc>
        <w:tc>
          <w:tcPr>
            <w:tcW w:w="1070" w:type="dxa"/>
            <w:tcBorders>
              <w:bottom w:val="single" w:sz="8" w:space="0" w:color="000000"/>
            </w:tcBorders>
            <w:shd w:fill="FFFFFF" w:val="clear"/>
            <w:vAlign w:val="center"/>
          </w:tcPr>
          <w:p>
            <w:pPr>
              <w:pStyle w:val="TableContents"/>
              <w:bidi w:val="0"/>
              <w:spacing w:before="0" w:after="283"/>
              <w:jc w:val="right"/>
              <w:rPr/>
            </w:pPr>
            <w:r>
              <w:rPr/>
              <w:tab/>
              <w:t>(1)</w:t>
            </w:r>
          </w:p>
        </w:tc>
        <w:tc>
          <w:tcPr>
            <w:tcW w:w="1205" w:type="dxa"/>
            <w:tcBorders>
              <w:bottom w:val="single" w:sz="8" w:space="0" w:color="000000"/>
            </w:tcBorders>
            <w:shd w:fill="FFFFFF" w:val="clear"/>
            <w:vAlign w:val="center"/>
          </w:tcPr>
          <w:p>
            <w:pPr>
              <w:pStyle w:val="TableContents"/>
              <w:bidi w:val="0"/>
              <w:spacing w:before="0" w:after="283"/>
              <w:jc w:val="right"/>
              <w:rPr/>
            </w:pPr>
            <w:r>
              <w:rPr/>
              <w:tab/>
              <w:t>—</w:t>
              <w:tab/>
            </w:r>
          </w:p>
        </w:tc>
        <w:tc>
          <w:tcPr>
            <w:tcW w:w="815" w:type="dxa"/>
            <w:tcBorders>
              <w:bottom w:val="single" w:sz="8" w:space="0" w:color="000000"/>
            </w:tcBorders>
            <w:shd w:fill="FFFFFF" w:val="clear"/>
            <w:vAlign w:val="center"/>
          </w:tcPr>
          <w:p>
            <w:pPr>
              <w:pStyle w:val="TableContents"/>
              <w:bidi w:val="0"/>
              <w:spacing w:before="0" w:after="283"/>
              <w:jc w:val="right"/>
              <w:rPr/>
            </w:pPr>
            <w:r>
              <w:rPr/>
              <w:tab/>
              <w:t>—</w:t>
              <w:tab/>
            </w:r>
          </w:p>
        </w:tc>
        <w:tc>
          <w:tcPr>
            <w:tcW w:w="965" w:type="dxa"/>
            <w:tcBorders>
              <w:bottom w:val="single" w:sz="8" w:space="0" w:color="000000"/>
            </w:tcBorders>
            <w:shd w:fill="FFFFFF" w:val="clear"/>
            <w:vAlign w:val="center"/>
          </w:tcPr>
          <w:p>
            <w:pPr>
              <w:pStyle w:val="TableContents"/>
              <w:bidi w:val="0"/>
              <w:spacing w:before="0" w:after="283"/>
              <w:jc w:val="right"/>
              <w:rPr/>
            </w:pPr>
            <w:r>
              <w:rPr/>
              <w:tab/>
              <w:t>(1)</w:t>
            </w:r>
          </w:p>
        </w:tc>
      </w:tr>
      <w:tr>
        <w:trPr/>
        <w:tc>
          <w:tcPr>
            <w:tcW w:w="4325" w:type="dxa"/>
            <w:tcBorders/>
            <w:shd w:fill="D5EAEA" w:val="clear"/>
            <w:tcMar>
              <w:bottom w:w="0" w:type="dxa"/>
            </w:tcMar>
            <w:vAlign w:val="center"/>
          </w:tcPr>
          <w:p>
            <w:pPr>
              <w:pStyle w:val="TableContents"/>
              <w:bidi w:val="0"/>
              <w:spacing w:before="0" w:after="283"/>
              <w:jc w:val="left"/>
              <w:rPr>
                <w:b/>
              </w:rPr>
            </w:pPr>
            <w:r>
              <w:rPr>
                <w:b/>
              </w:rPr>
              <w:t>Total - Accumulated amortization</w:t>
            </w:r>
          </w:p>
        </w:tc>
        <w:tc>
          <w:tcPr>
            <w:tcW w:w="950" w:type="dxa"/>
            <w:tcBorders>
              <w:bottom w:val="single" w:sz="8" w:space="0" w:color="000000"/>
            </w:tcBorders>
            <w:shd w:fill="D5EAEA" w:val="clear"/>
            <w:vAlign w:val="center"/>
          </w:tcPr>
          <w:p>
            <w:pPr>
              <w:pStyle w:val="TableContents"/>
              <w:bidi w:val="0"/>
              <w:spacing w:before="0" w:after="283"/>
              <w:jc w:val="right"/>
              <w:rPr>
                <w:b/>
              </w:rPr>
            </w:pPr>
            <w:r>
              <w:rPr>
                <w:b/>
              </w:rPr>
              <w:tab/>
              <w:t>(132,324)</w:t>
            </w:r>
          </w:p>
        </w:tc>
        <w:tc>
          <w:tcPr>
            <w:tcW w:w="1070" w:type="dxa"/>
            <w:tcBorders>
              <w:bottom w:val="single" w:sz="8" w:space="0" w:color="000000"/>
            </w:tcBorders>
            <w:shd w:fill="D5EAEA" w:val="clear"/>
            <w:vAlign w:val="center"/>
          </w:tcPr>
          <w:p>
            <w:pPr>
              <w:pStyle w:val="TableContents"/>
              <w:bidi w:val="0"/>
              <w:spacing w:before="0" w:after="283"/>
              <w:jc w:val="right"/>
              <w:rPr>
                <w:b/>
              </w:rPr>
            </w:pPr>
            <w:r>
              <w:rPr>
                <w:b/>
              </w:rPr>
              <w:tab/>
              <w:t>(39,707)</w:t>
            </w:r>
          </w:p>
        </w:tc>
        <w:tc>
          <w:tcPr>
            <w:tcW w:w="1205" w:type="dxa"/>
            <w:tcBorders>
              <w:bottom w:val="single" w:sz="8" w:space="0" w:color="000000"/>
            </w:tcBorders>
            <w:shd w:fill="D5EAEA" w:val="clear"/>
            <w:vAlign w:val="center"/>
          </w:tcPr>
          <w:p>
            <w:pPr>
              <w:pStyle w:val="TableContents"/>
              <w:bidi w:val="0"/>
              <w:spacing w:before="0" w:after="283"/>
              <w:jc w:val="right"/>
              <w:rPr>
                <w:b/>
              </w:rPr>
            </w:pPr>
            <w:r>
              <w:rPr>
                <w:b/>
              </w:rPr>
              <w:tab/>
              <w:t>—</w:t>
              <w:tab/>
            </w:r>
          </w:p>
        </w:tc>
        <w:tc>
          <w:tcPr>
            <w:tcW w:w="815" w:type="dxa"/>
            <w:tcBorders>
              <w:bottom w:val="single" w:sz="8" w:space="0" w:color="000000"/>
            </w:tcBorders>
            <w:shd w:fill="D5EAEA" w:val="clear"/>
            <w:vAlign w:val="center"/>
          </w:tcPr>
          <w:p>
            <w:pPr>
              <w:pStyle w:val="TableContents"/>
              <w:bidi w:val="0"/>
              <w:spacing w:before="0" w:after="283"/>
              <w:jc w:val="right"/>
              <w:rPr>
                <w:b/>
              </w:rPr>
            </w:pPr>
            <w:r>
              <w:rPr>
                <w:b/>
              </w:rPr>
              <w:tab/>
              <w:t>(1,965)</w:t>
            </w:r>
          </w:p>
        </w:tc>
        <w:tc>
          <w:tcPr>
            <w:tcW w:w="965" w:type="dxa"/>
            <w:tcBorders>
              <w:bottom w:val="single" w:sz="8" w:space="0" w:color="000000"/>
            </w:tcBorders>
            <w:shd w:fill="D5EAEA" w:val="clear"/>
            <w:vAlign w:val="center"/>
          </w:tcPr>
          <w:p>
            <w:pPr>
              <w:pStyle w:val="TableContents"/>
              <w:bidi w:val="0"/>
              <w:spacing w:before="0" w:after="283"/>
              <w:jc w:val="right"/>
              <w:rPr>
                <w:b/>
              </w:rPr>
            </w:pPr>
            <w:r>
              <w:rPr>
                <w:b/>
              </w:rPr>
              <w:tab/>
              <w:t>(173,996)</w:t>
            </w:r>
          </w:p>
        </w:tc>
      </w:tr>
      <w:tr>
        <w:trPr/>
        <w:tc>
          <w:tcPr>
            <w:tcW w:w="4325" w:type="dxa"/>
            <w:tcBorders/>
            <w:shd w:fill="FFFFFF" w:val="clear"/>
            <w:tcMar>
              <w:bottom w:w="0" w:type="dxa"/>
            </w:tcMar>
            <w:vAlign w:val="center"/>
          </w:tcPr>
          <w:p>
            <w:pPr>
              <w:pStyle w:val="TableContents"/>
              <w:bidi w:val="0"/>
              <w:spacing w:before="0" w:after="283"/>
              <w:jc w:val="left"/>
              <w:rPr>
                <w:b/>
              </w:rPr>
            </w:pPr>
            <w:r>
              <w:rPr>
                <w:b/>
              </w:rPr>
              <w:t>Intangible assets, net</w:t>
            </w:r>
          </w:p>
        </w:tc>
        <w:tc>
          <w:tcPr>
            <w:tcW w:w="950" w:type="dxa"/>
            <w:tcBorders>
              <w:bottom w:val="double" w:sz="6" w:space="0" w:color="000000"/>
            </w:tcBorders>
            <w:shd w:fill="FFFFFF" w:val="clear"/>
            <w:vAlign w:val="center"/>
          </w:tcPr>
          <w:p>
            <w:pPr>
              <w:pStyle w:val="TableContents"/>
              <w:bidi w:val="0"/>
              <w:spacing w:before="0" w:after="283"/>
              <w:jc w:val="right"/>
              <w:rPr>
                <w:b/>
              </w:rPr>
            </w:pPr>
            <w:r>
              <w:rPr>
                <w:b/>
              </w:rPr>
              <w:tab/>
              <w:t>700,866</w:t>
              <w:tab/>
            </w:r>
          </w:p>
        </w:tc>
        <w:tc>
          <w:tcPr>
            <w:tcW w:w="1070" w:type="dxa"/>
            <w:tcBorders>
              <w:bottom w:val="double" w:sz="6" w:space="0" w:color="000000"/>
            </w:tcBorders>
            <w:shd w:fill="FFFFFF" w:val="clear"/>
            <w:vAlign w:val="center"/>
          </w:tcPr>
          <w:p>
            <w:pPr>
              <w:pStyle w:val="TableContents"/>
              <w:bidi w:val="0"/>
              <w:spacing w:before="0" w:after="283"/>
              <w:jc w:val="right"/>
              <w:rPr>
                <w:b/>
              </w:rPr>
            </w:pPr>
            <w:r>
              <w:rPr>
                <w:b/>
              </w:rPr>
              <w:tab/>
              <w:t>4,908</w:t>
              <w:tab/>
            </w:r>
          </w:p>
        </w:tc>
        <w:tc>
          <w:tcPr>
            <w:tcW w:w="1205" w:type="dxa"/>
            <w:tcBorders>
              <w:bottom w:val="double" w:sz="6" w:space="0" w:color="000000"/>
            </w:tcBorders>
            <w:shd w:fill="FFFFFF" w:val="clear"/>
            <w:vAlign w:val="center"/>
          </w:tcPr>
          <w:p>
            <w:pPr>
              <w:pStyle w:val="TableContents"/>
              <w:bidi w:val="0"/>
              <w:spacing w:before="0" w:after="283"/>
              <w:jc w:val="right"/>
              <w:rPr>
                <w:b/>
              </w:rPr>
            </w:pPr>
            <w:r>
              <w:rPr>
                <w:b/>
              </w:rPr>
              <w:tab/>
              <w:t>61,225</w:t>
              <w:tab/>
            </w:r>
          </w:p>
        </w:tc>
        <w:tc>
          <w:tcPr>
            <w:tcW w:w="815" w:type="dxa"/>
            <w:tcBorders>
              <w:bottom w:val="double" w:sz="6" w:space="0" w:color="000000"/>
            </w:tcBorders>
            <w:shd w:fill="FFFFFF" w:val="clear"/>
            <w:vAlign w:val="center"/>
          </w:tcPr>
          <w:p>
            <w:pPr>
              <w:pStyle w:val="TableContents"/>
              <w:bidi w:val="0"/>
              <w:spacing w:before="0" w:after="283"/>
              <w:jc w:val="right"/>
              <w:rPr>
                <w:b/>
              </w:rPr>
            </w:pPr>
            <w:r>
              <w:rPr>
                <w:b/>
              </w:rPr>
              <w:tab/>
              <w:t>57,152</w:t>
              <w:tab/>
            </w:r>
          </w:p>
        </w:tc>
        <w:tc>
          <w:tcPr>
            <w:tcW w:w="965" w:type="dxa"/>
            <w:tcBorders>
              <w:bottom w:val="double" w:sz="6" w:space="0" w:color="000000"/>
            </w:tcBorders>
            <w:shd w:fill="FFFFFF" w:val="clear"/>
            <w:vAlign w:val="center"/>
          </w:tcPr>
          <w:p>
            <w:pPr>
              <w:pStyle w:val="TableContents"/>
              <w:bidi w:val="0"/>
              <w:spacing w:before="0" w:after="283"/>
              <w:jc w:val="right"/>
              <w:rPr>
                <w:b/>
              </w:rPr>
            </w:pPr>
            <w:r>
              <w:rPr>
                <w:b/>
              </w:rPr>
              <w:tab/>
              <w:t>824,151</w:t>
              <w:tab/>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CTA – Cumulative translation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there was no impairment indication for any of these assets.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Placement agent costs represent amounts capitalized in connection with placement agent agreements entered into during the fundraising stage. These assets are amortized over the estimated life of the respective investment funds. In the event of early liquidation of an investment fund, the amortization period is adjusted accordingly.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balance, as of June 30, 2026, is expected to be amortized as shown below:</w:t>
      </w:r>
    </w:p>
    <w:p>
      <w:pPr>
        <w:pStyle w:val="TextBody"/>
        <w:bidi w:val="0"/>
        <w:spacing w:before="0" w:after="0"/>
        <w:ind w:left="360" w:right="0" w:hanging="0"/>
        <w:jc w:val="both"/>
        <w:rPr>
          <w:caps w:val="false"/>
          <w:smallCaps w:val="false"/>
        </w:rPr>
      </w:pPr>
      <w:r>
        <w:rPr>
          <w:caps w:val="false"/>
          <w:smallCaps w:val="false"/>
        </w:rPr>
        <w:t> </w:t>
      </w:r>
    </w:p>
    <w:tbl>
      <w:tblPr>
        <w:tblW w:w="7620" w:type="dxa"/>
        <w:jc w:val="left"/>
        <w:tblInd w:w="0" w:type="dxa"/>
        <w:tblLayout w:type="fixed"/>
        <w:tblCellMar>
          <w:top w:w="0" w:type="dxa"/>
          <w:left w:w="0" w:type="dxa"/>
          <w:bottom w:w="0" w:type="dxa"/>
          <w:right w:w="0" w:type="dxa"/>
        </w:tblCellMar>
      </w:tblPr>
      <w:tblGrid>
        <w:gridCol w:w="1730"/>
        <w:gridCol w:w="485"/>
        <w:gridCol w:w="485"/>
        <w:gridCol w:w="485"/>
        <w:gridCol w:w="485"/>
        <w:gridCol w:w="485"/>
        <w:gridCol w:w="485"/>
        <w:gridCol w:w="485"/>
        <w:gridCol w:w="485"/>
        <w:gridCol w:w="485"/>
        <w:gridCol w:w="920"/>
        <w:gridCol w:w="605"/>
      </w:tblGrid>
      <w:tr>
        <w:trPr/>
        <w:tc>
          <w:tcPr>
            <w:tcW w:w="1730" w:type="dxa"/>
            <w:tcBorders/>
            <w:vAlign w:val="center"/>
          </w:tcPr>
          <w:p>
            <w:pPr>
              <w:pStyle w:val="TableContents"/>
              <w:bidi w:val="0"/>
              <w:spacing w:before="0" w:after="283"/>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2026</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2027</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2028</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2029</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2030</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2031</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2032</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2033</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2034</w:t>
            </w:r>
          </w:p>
        </w:tc>
        <w:tc>
          <w:tcPr>
            <w:tcW w:w="92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2035-2055</w:t>
            </w:r>
          </w:p>
        </w:tc>
        <w:tc>
          <w:tcPr>
            <w:tcW w:w="60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Total</w:t>
            </w:r>
          </w:p>
        </w:tc>
      </w:tr>
      <w:tr>
        <w:trPr/>
        <w:tc>
          <w:tcPr>
            <w:tcW w:w="1730" w:type="dxa"/>
            <w:tcBorders/>
            <w:shd w:fill="D5EAEA" w:val="clear"/>
            <w:vAlign w:val="center"/>
          </w:tcPr>
          <w:p>
            <w:pPr>
              <w:pStyle w:val="TableContents"/>
              <w:bidi w:val="0"/>
              <w:spacing w:before="0" w:after="283"/>
              <w:jc w:val="left"/>
              <w:rPr>
                <w:sz w:val="20"/>
              </w:rPr>
            </w:pPr>
            <w:r>
              <w:rPr>
                <w:sz w:val="20"/>
              </w:rPr>
              <w:t>Placement agent fees</w:t>
            </w:r>
          </w:p>
        </w:tc>
        <w:tc>
          <w:tcPr>
            <w:tcW w:w="485" w:type="dxa"/>
            <w:tcBorders>
              <w:bottom w:val="single" w:sz="8" w:space="0" w:color="000000"/>
            </w:tcBorders>
            <w:shd w:fill="D5EAEA" w:val="clear"/>
            <w:tcMar>
              <w:bottom w:w="28" w:type="dxa"/>
            </w:tcMar>
            <w:vAlign w:val="center"/>
          </w:tcPr>
          <w:p>
            <w:pPr>
              <w:pStyle w:val="TableContents"/>
              <w:bidi w:val="0"/>
              <w:spacing w:before="0" w:after="283"/>
              <w:jc w:val="center"/>
              <w:rPr>
                <w:sz w:val="20"/>
              </w:rPr>
            </w:pPr>
            <w:r>
              <w:rPr>
                <w:sz w:val="20"/>
              </w:rPr>
              <w:t>3,288</w:t>
            </w:r>
          </w:p>
        </w:tc>
        <w:tc>
          <w:tcPr>
            <w:tcW w:w="485" w:type="dxa"/>
            <w:tcBorders>
              <w:bottom w:val="single" w:sz="8" w:space="0" w:color="000000"/>
            </w:tcBorders>
            <w:shd w:fill="D5EAEA" w:val="clear"/>
            <w:tcMar>
              <w:bottom w:w="28" w:type="dxa"/>
            </w:tcMar>
            <w:vAlign w:val="center"/>
          </w:tcPr>
          <w:p>
            <w:pPr>
              <w:pStyle w:val="TableContents"/>
              <w:bidi w:val="0"/>
              <w:spacing w:before="0" w:after="283"/>
              <w:jc w:val="center"/>
              <w:rPr>
                <w:sz w:val="20"/>
              </w:rPr>
            </w:pPr>
            <w:r>
              <w:rPr>
                <w:sz w:val="20"/>
              </w:rPr>
              <w:t>3,282</w:t>
            </w:r>
          </w:p>
        </w:tc>
        <w:tc>
          <w:tcPr>
            <w:tcW w:w="485" w:type="dxa"/>
            <w:tcBorders>
              <w:bottom w:val="single" w:sz="8" w:space="0" w:color="000000"/>
            </w:tcBorders>
            <w:shd w:fill="D5EAEA" w:val="clear"/>
            <w:tcMar>
              <w:bottom w:w="28" w:type="dxa"/>
            </w:tcMar>
            <w:vAlign w:val="center"/>
          </w:tcPr>
          <w:p>
            <w:pPr>
              <w:pStyle w:val="TableContents"/>
              <w:bidi w:val="0"/>
              <w:spacing w:before="0" w:after="283"/>
              <w:jc w:val="center"/>
              <w:rPr>
                <w:sz w:val="20"/>
              </w:rPr>
            </w:pPr>
            <w:r>
              <w:rPr>
                <w:sz w:val="20"/>
              </w:rPr>
              <w:t>3,265</w:t>
            </w:r>
          </w:p>
        </w:tc>
        <w:tc>
          <w:tcPr>
            <w:tcW w:w="485" w:type="dxa"/>
            <w:tcBorders>
              <w:bottom w:val="single" w:sz="8" w:space="0" w:color="000000"/>
            </w:tcBorders>
            <w:shd w:fill="D5EAEA" w:val="clear"/>
            <w:tcMar>
              <w:bottom w:w="28" w:type="dxa"/>
            </w:tcMar>
            <w:vAlign w:val="center"/>
          </w:tcPr>
          <w:p>
            <w:pPr>
              <w:pStyle w:val="TableContents"/>
              <w:bidi w:val="0"/>
              <w:spacing w:before="0" w:after="283"/>
              <w:jc w:val="center"/>
              <w:rPr>
                <w:sz w:val="20"/>
              </w:rPr>
            </w:pPr>
            <w:r>
              <w:rPr>
                <w:sz w:val="20"/>
              </w:rPr>
              <w:t>3,260</w:t>
            </w:r>
          </w:p>
        </w:tc>
        <w:tc>
          <w:tcPr>
            <w:tcW w:w="485" w:type="dxa"/>
            <w:tcBorders>
              <w:bottom w:val="single" w:sz="8" w:space="0" w:color="000000"/>
            </w:tcBorders>
            <w:shd w:fill="D5EAEA" w:val="clear"/>
            <w:tcMar>
              <w:bottom w:w="28" w:type="dxa"/>
            </w:tcMar>
            <w:vAlign w:val="center"/>
          </w:tcPr>
          <w:p>
            <w:pPr>
              <w:pStyle w:val="TableContents"/>
              <w:bidi w:val="0"/>
              <w:spacing w:before="0" w:after="283"/>
              <w:jc w:val="center"/>
              <w:rPr>
                <w:sz w:val="20"/>
              </w:rPr>
            </w:pPr>
            <w:r>
              <w:rPr>
                <w:sz w:val="20"/>
              </w:rPr>
              <w:t>3,257</w:t>
            </w:r>
          </w:p>
        </w:tc>
        <w:tc>
          <w:tcPr>
            <w:tcW w:w="485" w:type="dxa"/>
            <w:tcBorders>
              <w:bottom w:val="single" w:sz="8" w:space="0" w:color="000000"/>
            </w:tcBorders>
            <w:shd w:fill="D5EAEA" w:val="clear"/>
            <w:tcMar>
              <w:bottom w:w="28" w:type="dxa"/>
            </w:tcMar>
            <w:vAlign w:val="center"/>
          </w:tcPr>
          <w:p>
            <w:pPr>
              <w:pStyle w:val="TableContents"/>
              <w:bidi w:val="0"/>
              <w:spacing w:before="0" w:after="283"/>
              <w:jc w:val="center"/>
              <w:rPr>
                <w:sz w:val="20"/>
              </w:rPr>
            </w:pPr>
            <w:r>
              <w:rPr>
                <w:sz w:val="20"/>
              </w:rPr>
              <w:t>3,087</w:t>
            </w:r>
          </w:p>
        </w:tc>
        <w:tc>
          <w:tcPr>
            <w:tcW w:w="485" w:type="dxa"/>
            <w:tcBorders>
              <w:bottom w:val="single" w:sz="8" w:space="0" w:color="000000"/>
            </w:tcBorders>
            <w:shd w:fill="D5EAEA" w:val="clear"/>
            <w:tcMar>
              <w:bottom w:w="28" w:type="dxa"/>
            </w:tcMar>
            <w:vAlign w:val="center"/>
          </w:tcPr>
          <w:p>
            <w:pPr>
              <w:pStyle w:val="TableContents"/>
              <w:bidi w:val="0"/>
              <w:spacing w:before="0" w:after="283"/>
              <w:jc w:val="center"/>
              <w:rPr>
                <w:sz w:val="20"/>
              </w:rPr>
            </w:pPr>
            <w:r>
              <w:rPr>
                <w:sz w:val="20"/>
              </w:rPr>
              <w:t>2,106</w:t>
            </w:r>
          </w:p>
        </w:tc>
        <w:tc>
          <w:tcPr>
            <w:tcW w:w="485" w:type="dxa"/>
            <w:tcBorders>
              <w:bottom w:val="single" w:sz="8" w:space="0" w:color="000000"/>
            </w:tcBorders>
            <w:shd w:fill="D5EAEA" w:val="clear"/>
            <w:tcMar>
              <w:bottom w:w="28" w:type="dxa"/>
            </w:tcMar>
            <w:vAlign w:val="center"/>
          </w:tcPr>
          <w:p>
            <w:pPr>
              <w:pStyle w:val="TableContents"/>
              <w:bidi w:val="0"/>
              <w:spacing w:before="0" w:after="283"/>
              <w:jc w:val="center"/>
              <w:rPr>
                <w:sz w:val="20"/>
              </w:rPr>
            </w:pPr>
            <w:r>
              <w:rPr>
                <w:sz w:val="20"/>
              </w:rPr>
              <w:t>1,548</w:t>
            </w:r>
          </w:p>
        </w:tc>
        <w:tc>
          <w:tcPr>
            <w:tcW w:w="485" w:type="dxa"/>
            <w:tcBorders>
              <w:bottom w:val="single" w:sz="8" w:space="0" w:color="000000"/>
            </w:tcBorders>
            <w:shd w:fill="D5EAEA" w:val="clear"/>
            <w:tcMar>
              <w:bottom w:w="28" w:type="dxa"/>
            </w:tcMar>
            <w:vAlign w:val="center"/>
          </w:tcPr>
          <w:p>
            <w:pPr>
              <w:pStyle w:val="TableContents"/>
              <w:bidi w:val="0"/>
              <w:spacing w:before="0" w:after="283"/>
              <w:jc w:val="center"/>
              <w:rPr>
                <w:sz w:val="20"/>
              </w:rPr>
            </w:pPr>
            <w:r>
              <w:rPr>
                <w:sz w:val="20"/>
              </w:rPr>
              <w:t>1,348</w:t>
            </w:r>
          </w:p>
        </w:tc>
        <w:tc>
          <w:tcPr>
            <w:tcW w:w="92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5,325</w:t>
            </w:r>
          </w:p>
        </w:tc>
        <w:tc>
          <w:tcPr>
            <w:tcW w:w="60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29,766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Additions to contractual rights during the six-month period ended June 30, 2026 primarily relate to the acquisitions of Solis and Iter, completed on January 2, 2026, RBR, completed on February 2, 2026 and WP, completed on April 01, 2026. The remaining balance relates to acquisitions completed in prior years.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20"/>
        <w:gridCol w:w="812"/>
        <w:gridCol w:w="997"/>
        <w:gridCol w:w="652"/>
        <w:gridCol w:w="662"/>
        <w:gridCol w:w="655"/>
        <w:gridCol w:w="812"/>
        <w:gridCol w:w="897"/>
        <w:gridCol w:w="667"/>
        <w:gridCol w:w="652"/>
        <w:gridCol w:w="652"/>
        <w:gridCol w:w="652"/>
        <w:gridCol w:w="675"/>
      </w:tblGrid>
      <w:tr>
        <w:trPr/>
        <w:tc>
          <w:tcPr>
            <w:tcW w:w="1420" w:type="dxa"/>
            <w:tcBorders>
              <w:bottom w:val="single" w:sz="8" w:space="0" w:color="000000"/>
            </w:tcBorders>
            <w:vAlign w:val="center"/>
          </w:tcPr>
          <w:p>
            <w:pPr>
              <w:pStyle w:val="TableContents"/>
              <w:bidi w:val="0"/>
              <w:spacing w:before="0" w:after="283"/>
              <w:jc w:val="left"/>
              <w:rPr/>
            </w:pPr>
            <w:r>
              <w:rPr/>
              <w:t> </w:t>
            </w:r>
          </w:p>
        </w:tc>
        <w:tc>
          <w:tcPr>
            <w:tcW w:w="8785" w:type="dxa"/>
            <w:gridSpan w:val="12"/>
            <w:tcBorders>
              <w:bottom w:val="single" w:sz="8" w:space="0" w:color="000000"/>
            </w:tcBorders>
            <w:vAlign w:val="center"/>
          </w:tcPr>
          <w:p>
            <w:pPr>
              <w:pStyle w:val="TableContents"/>
              <w:bidi w:val="0"/>
              <w:spacing w:before="0" w:after="283"/>
              <w:jc w:val="center"/>
              <w:rPr>
                <w:b/>
                <w:color w:val="000000"/>
                <w:sz w:val="20"/>
              </w:rPr>
            </w:pPr>
            <w:r>
              <w:rPr>
                <w:b/>
                <w:color w:val="000000"/>
                <w:sz w:val="20"/>
              </w:rPr>
              <w:t>Amortization period</w:t>
            </w:r>
          </w:p>
        </w:tc>
      </w:tr>
      <w:tr>
        <w:trPr/>
        <w:tc>
          <w:tcPr>
            <w:tcW w:w="1420" w:type="dxa"/>
            <w:tcBorders>
              <w:bottom w:val="single" w:sz="8" w:space="0" w:color="000000"/>
            </w:tcBorders>
            <w:vAlign w:val="center"/>
          </w:tcPr>
          <w:p>
            <w:pPr>
              <w:pStyle w:val="TableContents"/>
              <w:bidi w:val="0"/>
              <w:spacing w:before="0" w:after="283"/>
              <w:jc w:val="left"/>
              <w:rPr>
                <w:b/>
                <w:color w:val="000000"/>
                <w:sz w:val="20"/>
              </w:rPr>
            </w:pPr>
            <w:r>
              <w:rPr>
                <w:b/>
                <w:color w:val="000000"/>
                <w:sz w:val="20"/>
              </w:rPr>
              <w:t>Intangible asset</w:t>
            </w:r>
          </w:p>
        </w:tc>
        <w:tc>
          <w:tcPr>
            <w:tcW w:w="812"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P2 Group</w:t>
            </w:r>
          </w:p>
        </w:tc>
        <w:tc>
          <w:tcPr>
            <w:tcW w:w="997"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Blue Macaw</w:t>
            </w:r>
          </w:p>
        </w:tc>
        <w:tc>
          <w:tcPr>
            <w:tcW w:w="652"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Bari</w:t>
            </w:r>
          </w:p>
        </w:tc>
        <w:tc>
          <w:tcPr>
            <w:tcW w:w="662"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Move</w:t>
            </w:r>
          </w:p>
        </w:tc>
        <w:tc>
          <w:tcPr>
            <w:tcW w:w="655"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PAM</w:t>
            </w:r>
          </w:p>
        </w:tc>
        <w:tc>
          <w:tcPr>
            <w:tcW w:w="812"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GPMS</w:t>
            </w:r>
          </w:p>
        </w:tc>
        <w:tc>
          <w:tcPr>
            <w:tcW w:w="897"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CSHG</w:t>
            </w:r>
          </w:p>
        </w:tc>
        <w:tc>
          <w:tcPr>
            <w:tcW w:w="667"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Nexus</w:t>
            </w:r>
          </w:p>
        </w:tc>
        <w:tc>
          <w:tcPr>
            <w:tcW w:w="652"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RBR</w:t>
            </w:r>
          </w:p>
        </w:tc>
        <w:tc>
          <w:tcPr>
            <w:tcW w:w="652"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Iter</w:t>
            </w:r>
          </w:p>
        </w:tc>
        <w:tc>
          <w:tcPr>
            <w:tcW w:w="652"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Solis</w:t>
            </w:r>
          </w:p>
        </w:tc>
        <w:tc>
          <w:tcPr>
            <w:tcW w:w="675"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WP</w:t>
            </w:r>
          </w:p>
        </w:tc>
      </w:tr>
      <w:tr>
        <w:trPr/>
        <w:tc>
          <w:tcPr>
            <w:tcW w:w="1420" w:type="dxa"/>
            <w:tcBorders/>
            <w:shd w:fill="D5EAEA" w:val="clear"/>
            <w:tcMar>
              <w:bottom w:w="0" w:type="dxa"/>
            </w:tcMar>
            <w:vAlign w:val="center"/>
          </w:tcPr>
          <w:p>
            <w:pPr>
              <w:pStyle w:val="TableContents"/>
              <w:bidi w:val="0"/>
              <w:spacing w:before="0" w:after="283"/>
              <w:jc w:val="left"/>
              <w:rPr>
                <w:color w:val="000000"/>
                <w:sz w:val="20"/>
              </w:rPr>
            </w:pPr>
            <w:r>
              <w:rPr>
                <w:color w:val="000000"/>
                <w:sz w:val="20"/>
              </w:rPr>
              <w:t>Contractual rights</w:t>
            </w:r>
          </w:p>
        </w:tc>
        <w:tc>
          <w:tcPr>
            <w:tcW w:w="812"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8-12 years</w:t>
            </w:r>
          </w:p>
        </w:tc>
        <w:tc>
          <w:tcPr>
            <w:tcW w:w="997"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3-20 years</w:t>
            </w:r>
          </w:p>
        </w:tc>
        <w:tc>
          <w:tcPr>
            <w:tcW w:w="652"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19 years</w:t>
            </w:r>
          </w:p>
        </w:tc>
        <w:tc>
          <w:tcPr>
            <w:tcW w:w="662"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 years</w:t>
            </w:r>
          </w:p>
        </w:tc>
        <w:tc>
          <w:tcPr>
            <w:tcW w:w="655"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 years</w:t>
            </w:r>
          </w:p>
        </w:tc>
        <w:tc>
          <w:tcPr>
            <w:tcW w:w="812" w:type="dxa"/>
            <w:tcBorders/>
            <w:shd w:fill="D5EAEA" w:val="clear"/>
            <w:tcMar>
              <w:bottom w:w="0" w:type="dxa"/>
            </w:tcM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6-26 years</w:t>
            </w:r>
          </w:p>
        </w:tc>
        <w:tc>
          <w:tcPr>
            <w:tcW w:w="897"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31-33 years</w:t>
            </w:r>
          </w:p>
        </w:tc>
        <w:tc>
          <w:tcPr>
            <w:tcW w:w="667"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 years</w:t>
            </w:r>
          </w:p>
        </w:tc>
        <w:tc>
          <w:tcPr>
            <w:tcW w:w="652"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19 years</w:t>
            </w:r>
          </w:p>
        </w:tc>
        <w:tc>
          <w:tcPr>
            <w:tcW w:w="652"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 years</w:t>
            </w:r>
          </w:p>
        </w:tc>
        <w:tc>
          <w:tcPr>
            <w:tcW w:w="652"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 years</w:t>
            </w:r>
          </w:p>
        </w:tc>
        <w:tc>
          <w:tcPr>
            <w:tcW w:w="675" w:type="dxa"/>
            <w:tcBorders/>
            <w:shd w:fill="D5EAEA"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 years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both"/>
              <w:rPr/>
            </w:pPr>
            <w:r>
              <w:rPr/>
              <w:t>Non-contractual customer relationships refer to client relationships of Moneda, VBI, Igah and Kamaroopin. VBI customer relationships have a longer expected amortization period based on the nature of the capital structure of the underlying investment funds consisting of permanent capital. Brands refer to Moneda, VBI and Kamaroopin brands acquired through business combination. The table below summarizes the amortization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6945" w:type="dxa"/>
        <w:jc w:val="center"/>
        <w:tblInd w:w="0" w:type="dxa"/>
        <w:tblLayout w:type="fixed"/>
        <w:tblCellMar>
          <w:top w:w="0" w:type="dxa"/>
          <w:left w:w="0" w:type="dxa"/>
          <w:bottom w:w="28" w:type="dxa"/>
          <w:right w:w="0" w:type="dxa"/>
        </w:tblCellMar>
      </w:tblPr>
      <w:tblGrid>
        <w:gridCol w:w="3230"/>
        <w:gridCol w:w="710"/>
        <w:gridCol w:w="695"/>
        <w:gridCol w:w="590"/>
        <w:gridCol w:w="1115"/>
        <w:gridCol w:w="605"/>
      </w:tblGrid>
      <w:tr>
        <w:trPr/>
        <w:tc>
          <w:tcPr>
            <w:tcW w:w="3230" w:type="dxa"/>
            <w:vMerge w:val="restart"/>
            <w:tcBorders>
              <w:bottom w:val="single" w:sz="8" w:space="0" w:color="000000"/>
            </w:tcBorders>
            <w:vAlign w:val="center"/>
          </w:tcPr>
          <w:p>
            <w:pPr>
              <w:pStyle w:val="TableContents"/>
              <w:bidi w:val="0"/>
              <w:spacing w:before="0" w:after="283"/>
              <w:jc w:val="left"/>
              <w:rPr>
                <w:b/>
                <w:sz w:val="20"/>
              </w:rPr>
            </w:pPr>
            <w:r>
              <w:rPr>
                <w:b/>
                <w:sz w:val="20"/>
              </w:rPr>
              <w:t>Intangible asset</w:t>
            </w:r>
          </w:p>
        </w:tc>
        <w:tc>
          <w:tcPr>
            <w:tcW w:w="3715" w:type="dxa"/>
            <w:gridSpan w:val="5"/>
            <w:tcBorders>
              <w:bottom w:val="single" w:sz="8" w:space="0" w:color="000000"/>
            </w:tcBorders>
            <w:vAlign w:val="center"/>
          </w:tcPr>
          <w:p>
            <w:pPr>
              <w:pStyle w:val="TableContents"/>
              <w:bidi w:val="0"/>
              <w:spacing w:before="0" w:after="283"/>
              <w:jc w:val="center"/>
              <w:rPr>
                <w:b/>
                <w:sz w:val="20"/>
              </w:rPr>
            </w:pPr>
            <w:r>
              <w:rPr>
                <w:b/>
                <w:sz w:val="20"/>
              </w:rPr>
              <w:t>Amortization period</w:t>
            </w:r>
          </w:p>
        </w:tc>
      </w:tr>
      <w:tr>
        <w:trPr/>
        <w:tc>
          <w:tcPr>
            <w:tcW w:w="3230" w:type="dxa"/>
            <w:vMerge w:val="continue"/>
            <w:tcBorders>
              <w:bottom w:val="single" w:sz="8" w:space="0" w:color="000000"/>
            </w:tcBorders>
            <w:vAlign w:val="center"/>
          </w:tcPr>
          <w:p>
            <w:pPr>
              <w:pStyle w:val="Normal"/>
              <w:bidi w:val="0"/>
              <w:jc w:val="left"/>
              <w:rPr/>
            </w:pPr>
            <w:r>
              <w:rPr/>
            </w:r>
          </w:p>
        </w:tc>
        <w:tc>
          <w:tcPr>
            <w:tcW w:w="710" w:type="dxa"/>
            <w:tcBorders>
              <w:bottom w:val="single" w:sz="8" w:space="0" w:color="000000"/>
            </w:tcBorders>
            <w:vAlign w:val="center"/>
          </w:tcPr>
          <w:p>
            <w:pPr>
              <w:pStyle w:val="TableContents"/>
              <w:bidi w:val="0"/>
              <w:spacing w:before="0" w:after="283"/>
              <w:jc w:val="center"/>
              <w:rPr>
                <w:b/>
                <w:sz w:val="20"/>
              </w:rPr>
            </w:pPr>
            <w:r>
              <w:rPr>
                <w:b/>
                <w:sz w:val="20"/>
              </w:rPr>
              <w:t>Moneda</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VBI</w:t>
            </w:r>
          </w:p>
        </w:tc>
        <w:tc>
          <w:tcPr>
            <w:tcW w:w="590" w:type="dxa"/>
            <w:tcBorders>
              <w:bottom w:val="single" w:sz="8" w:space="0" w:color="000000"/>
            </w:tcBorders>
            <w:vAlign w:val="center"/>
          </w:tcPr>
          <w:p>
            <w:pPr>
              <w:pStyle w:val="TableContents"/>
              <w:bidi w:val="0"/>
              <w:spacing w:before="0" w:after="283"/>
              <w:jc w:val="center"/>
              <w:rPr>
                <w:b/>
                <w:sz w:val="20"/>
              </w:rPr>
            </w:pPr>
            <w:r>
              <w:rPr>
                <w:b/>
                <w:sz w:val="20"/>
              </w:rPr>
              <w:t>Igah</w:t>
            </w:r>
          </w:p>
        </w:tc>
        <w:tc>
          <w:tcPr>
            <w:tcW w:w="1115" w:type="dxa"/>
            <w:tcBorders>
              <w:bottom w:val="single" w:sz="8" w:space="0" w:color="000000"/>
            </w:tcBorders>
            <w:vAlign w:val="center"/>
          </w:tcPr>
          <w:p>
            <w:pPr>
              <w:pStyle w:val="TableContents"/>
              <w:bidi w:val="0"/>
              <w:spacing w:before="0" w:after="283"/>
              <w:jc w:val="center"/>
              <w:rPr>
                <w:b/>
                <w:sz w:val="20"/>
              </w:rPr>
            </w:pPr>
            <w:r>
              <w:rPr>
                <w:b/>
                <w:sz w:val="20"/>
              </w:rPr>
              <w:t>Kamaroopin</w:t>
            </w:r>
          </w:p>
        </w:tc>
        <w:tc>
          <w:tcPr>
            <w:tcW w:w="605" w:type="dxa"/>
            <w:tcBorders>
              <w:bottom w:val="single" w:sz="8" w:space="0" w:color="000000"/>
            </w:tcBorders>
            <w:vAlign w:val="center"/>
          </w:tcPr>
          <w:p>
            <w:pPr>
              <w:pStyle w:val="TableContents"/>
              <w:bidi w:val="0"/>
              <w:spacing w:before="0" w:after="283"/>
              <w:jc w:val="center"/>
              <w:rPr>
                <w:b/>
                <w:sz w:val="20"/>
              </w:rPr>
            </w:pPr>
            <w:r>
              <w:rPr>
                <w:b/>
                <w:sz w:val="20"/>
              </w:rPr>
              <w:t>WP</w:t>
            </w:r>
          </w:p>
        </w:tc>
      </w:tr>
      <w:tr>
        <w:trPr/>
        <w:tc>
          <w:tcPr>
            <w:tcW w:w="3230" w:type="dxa"/>
            <w:tcBorders/>
            <w:shd w:fill="D5EAEA" w:val="clear"/>
            <w:tcMar>
              <w:bottom w:w="0" w:type="dxa"/>
            </w:tcMar>
            <w:vAlign w:val="center"/>
          </w:tcPr>
          <w:p>
            <w:pPr>
              <w:pStyle w:val="TableContents"/>
              <w:bidi w:val="0"/>
              <w:spacing w:before="0" w:after="283"/>
              <w:jc w:val="left"/>
              <w:rPr>
                <w:sz w:val="20"/>
              </w:rPr>
            </w:pPr>
            <w:r>
              <w:rPr>
                <w:sz w:val="20"/>
              </w:rPr>
              <w:t>Non-contractual customer relationships</w:t>
            </w:r>
          </w:p>
        </w:tc>
        <w:tc>
          <w:tcPr>
            <w:tcW w:w="710" w:type="dxa"/>
            <w:tcBorders/>
            <w:shd w:fill="D5EAEA"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 years</w:t>
            </w:r>
          </w:p>
        </w:tc>
        <w:tc>
          <w:tcPr>
            <w:tcW w:w="695" w:type="dxa"/>
            <w:tcBorders/>
            <w:shd w:fill="D5EAEA"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 years</w:t>
            </w:r>
          </w:p>
        </w:tc>
        <w:tc>
          <w:tcPr>
            <w:tcW w:w="590" w:type="dxa"/>
            <w:tcBorders/>
            <w:shd w:fill="D5EAEA"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1115" w:type="dxa"/>
            <w:tcBorders/>
            <w:shd w:fill="D5EAEA"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605" w:type="dxa"/>
            <w:tcBorders/>
            <w:shd w:fill="D5EAEA"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r>
      <w:tr>
        <w:trPr/>
        <w:tc>
          <w:tcPr>
            <w:tcW w:w="3230" w:type="dxa"/>
            <w:tcBorders/>
            <w:shd w:fill="FFFFFF" w:val="clear"/>
            <w:tcMar>
              <w:bottom w:w="0" w:type="dxa"/>
            </w:tcMar>
            <w:vAlign w:val="center"/>
          </w:tcPr>
          <w:p>
            <w:pPr>
              <w:pStyle w:val="TableContents"/>
              <w:bidi w:val="0"/>
              <w:spacing w:before="0" w:after="283"/>
              <w:jc w:val="left"/>
              <w:rPr>
                <w:sz w:val="20"/>
              </w:rPr>
            </w:pPr>
            <w:r>
              <w:rPr>
                <w:sz w:val="20"/>
              </w:rPr>
              <w:t>Brands</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69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 years</w:t>
            </w:r>
          </w:p>
        </w:tc>
        <w:tc>
          <w:tcPr>
            <w:tcW w:w="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 years</w:t>
            </w:r>
          </w:p>
        </w:tc>
        <w:tc>
          <w:tcPr>
            <w:tcW w:w="605" w:type="dxa"/>
            <w:tcBorders/>
            <w:shd w:fill="FFFFFF" w:val="clear"/>
            <w:tcMar>
              <w:bottom w:w="0" w:type="dxa"/>
            </w:tcMar>
            <w:vAlign w:val="center"/>
          </w:tcPr>
          <w:p>
            <w:pPr>
              <w:pStyle w:val="TableContents"/>
              <w:bidi w:val="0"/>
              <w:spacing w:before="0" w:after="283"/>
              <w:jc w:val="center"/>
              <w:rPr>
                <w:sz w:val="20"/>
              </w:rPr>
            </w:pPr>
            <w:r>
              <w:rPr>
                <w:sz w:val="20"/>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4"/>
        <w:gridCol w:w="337"/>
        <w:gridCol w:w="9824"/>
      </w:tblGrid>
      <w:tr>
        <w:trPr/>
        <w:tc>
          <w:tcPr>
            <w:tcW w:w="4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(d)</w:t>
            </w:r>
          </w:p>
        </w:tc>
        <w:tc>
          <w:tcPr>
            <w:tcW w:w="9824" w:type="dxa"/>
            <w:tcBorders/>
            <w:vAlign w:val="center"/>
          </w:tcPr>
          <w:p>
            <w:pPr>
              <w:pStyle w:val="TableContents"/>
              <w:bidi w:val="0"/>
              <w:spacing w:before="0" w:after="283"/>
              <w:jc w:val="both"/>
              <w:rPr/>
            </w:pPr>
            <w:r>
              <w:rPr/>
              <w:t>The following goodwill additions for the six-month period ended June 30, 2026 relate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914"/>
        <w:gridCol w:w="9043"/>
      </w:tblGrid>
      <w:tr>
        <w:trPr/>
        <w:tc>
          <w:tcPr>
            <w:tcW w:w="24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b/>
              </w:rPr>
            </w:pPr>
            <w:r>
              <w:rPr>
                <w:b/>
              </w:rPr>
              <w:t>i.</w:t>
            </w:r>
          </w:p>
        </w:tc>
        <w:tc>
          <w:tcPr>
            <w:tcW w:w="9043" w:type="dxa"/>
            <w:tcBorders/>
            <w:vAlign w:val="center"/>
          </w:tcPr>
          <w:p>
            <w:pPr>
              <w:pStyle w:val="TableContents"/>
              <w:bidi w:val="0"/>
              <w:spacing w:before="0" w:after="283"/>
              <w:jc w:val="both"/>
              <w:rPr>
                <w:b/>
              </w:rPr>
            </w:pPr>
            <w:r>
              <w:rPr>
                <w:b/>
              </w:rPr>
              <w:t>Solis and Iter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in connection with the acquisitions of Solis and Iter amounted to US$8.5 million and US$2.5 million, respectively</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5"/>
        <w:gridCol w:w="2558"/>
        <w:gridCol w:w="7162"/>
      </w:tblGrid>
      <w:tr>
        <w:trPr/>
        <w:tc>
          <w:tcPr>
            <w:tcW w:w="485"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b/>
              </w:rPr>
            </w:pPr>
            <w:r>
              <w:rPr>
                <w:b/>
              </w:rPr>
              <w:t>ii.</w:t>
            </w:r>
          </w:p>
        </w:tc>
        <w:tc>
          <w:tcPr>
            <w:tcW w:w="7162" w:type="dxa"/>
            <w:tcBorders/>
            <w:vAlign w:val="center"/>
          </w:tcPr>
          <w:p>
            <w:pPr>
              <w:pStyle w:val="TableContents"/>
              <w:bidi w:val="0"/>
              <w:spacing w:before="0" w:after="283"/>
              <w:jc w:val="both"/>
              <w:rPr>
                <w:b/>
              </w:rPr>
            </w:pPr>
            <w:r>
              <w:rPr>
                <w:b/>
              </w:rPr>
              <w:t>RBR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in connection with the acquisition of RBR amounted to US$ 0.4 million.</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6"/>
        <w:gridCol w:w="3670"/>
        <w:gridCol w:w="5999"/>
      </w:tblGrid>
      <w:tr>
        <w:trPr/>
        <w:tc>
          <w:tcPr>
            <w:tcW w:w="536"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b/>
              </w:rPr>
            </w:pPr>
            <w:r>
              <w:rPr>
                <w:b/>
              </w:rPr>
              <w:t>iii.</w:t>
            </w:r>
          </w:p>
        </w:tc>
        <w:tc>
          <w:tcPr>
            <w:tcW w:w="5999" w:type="dxa"/>
            <w:tcBorders/>
            <w:vAlign w:val="center"/>
          </w:tcPr>
          <w:p>
            <w:pPr>
              <w:pStyle w:val="TableContents"/>
              <w:bidi w:val="0"/>
              <w:spacing w:before="0" w:after="283"/>
              <w:jc w:val="both"/>
              <w:rPr>
                <w:b/>
              </w:rPr>
            </w:pPr>
            <w:r>
              <w:rPr>
                <w:b/>
              </w:rPr>
              <w:t>WP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in connection with the acquisition of WP amounted to US$ 31.0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considerations: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its annual impairment assessment in December. On a quarterly basis, management evaluates whether any indicators of impairment exist and if identified, whether they suggest that the carrying amount of a cash-generating unit ("CGU") may not be recoverable. The recoverable amounts of cash generating units ("CGUs") are based on value-in-use ("VIU") that is calculated using discounted cash flow models. Cash flow projections used in discounted cash flow models incorporate the most recent business plans, revenue generation, and the cost structure associated with each CGU after considering product-level pipelines, historical fundraising cycles, investor behavior, and macro-economic conditions. For the period ended June 30, 2026, there were no impairment indicators therefore no impairment test was performed. Refer to note 14 in the Company’s annual financial statements for full disclosure of the Company’s annual impairment test.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reflects the composition of goodwill as of June 30, 2026, and December 31, 2025, (including the effects of CTA) included in intangible assets allocated per acquisition:</w:t>
      </w:r>
    </w:p>
    <w:p>
      <w:pPr>
        <w:pStyle w:val="TextBody"/>
        <w:bidi w:val="0"/>
        <w:spacing w:before="0" w:after="0"/>
        <w:ind w:left="360" w:right="0" w:hanging="0"/>
        <w:jc w:val="both"/>
        <w:rPr>
          <w:caps w:val="false"/>
          <w:smallCaps w:val="false"/>
        </w:rPr>
      </w:pPr>
      <w:r>
        <w:rPr>
          <w:caps w:val="false"/>
          <w:smallCaps w:val="false"/>
        </w:rPr>
        <w:t> </w:t>
      </w:r>
    </w:p>
    <w:tbl>
      <w:tblPr>
        <w:tblW w:w="4125" w:type="dxa"/>
        <w:jc w:val="center"/>
        <w:tblInd w:w="0" w:type="dxa"/>
        <w:tblLayout w:type="fixed"/>
        <w:tblCellMar>
          <w:top w:w="0" w:type="dxa"/>
          <w:left w:w="0" w:type="dxa"/>
          <w:bottom w:w="0" w:type="dxa"/>
          <w:right w:w="0" w:type="dxa"/>
        </w:tblCellMar>
      </w:tblPr>
      <w:tblGrid>
        <w:gridCol w:w="1280"/>
        <w:gridCol w:w="1190"/>
        <w:gridCol w:w="1655"/>
      </w:tblGrid>
      <w:tr>
        <w:trPr/>
        <w:tc>
          <w:tcPr>
            <w:tcW w:w="128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1280" w:type="dxa"/>
            <w:tcBorders/>
            <w:shd w:fill="D5EAEA" w:val="clear"/>
            <w:vAlign w:val="center"/>
          </w:tcPr>
          <w:p>
            <w:pPr>
              <w:pStyle w:val="TableContents"/>
              <w:bidi w:val="0"/>
              <w:spacing w:before="0" w:after="283"/>
              <w:jc w:val="left"/>
              <w:rPr>
                <w:sz w:val="20"/>
              </w:rPr>
            </w:pPr>
            <w:r>
              <w:rPr>
                <w:sz w:val="20"/>
              </w:rPr>
              <w:t>Credit</w:t>
            </w:r>
          </w:p>
        </w:tc>
        <w:tc>
          <w:tcPr>
            <w:tcW w:w="1190" w:type="dxa"/>
            <w:tcBorders/>
            <w:shd w:fill="D5EAEA" w:val="clear"/>
            <w:vAlign w:val="center"/>
          </w:tcPr>
          <w:p>
            <w:pPr>
              <w:pStyle w:val="TableContents"/>
              <w:bidi w:val="0"/>
              <w:spacing w:before="0" w:after="283"/>
              <w:jc w:val="right"/>
              <w:rPr>
                <w:sz w:val="20"/>
              </w:rPr>
            </w:pPr>
            <w:r>
              <w:rPr>
                <w:sz w:val="20"/>
              </w:rPr>
              <w:t>162,571</w:t>
            </w:r>
          </w:p>
        </w:tc>
        <w:tc>
          <w:tcPr>
            <w:tcW w:w="1655" w:type="dxa"/>
            <w:tcBorders/>
            <w:shd w:fill="D5EAEA" w:val="clear"/>
            <w:vAlign w:val="center"/>
          </w:tcPr>
          <w:p>
            <w:pPr>
              <w:pStyle w:val="TableContents"/>
              <w:bidi w:val="0"/>
              <w:spacing w:before="0" w:after="283"/>
              <w:jc w:val="right"/>
              <w:rPr>
                <w:sz w:val="20"/>
              </w:rPr>
            </w:pPr>
            <w:r>
              <w:rPr>
                <w:sz w:val="20"/>
              </w:rPr>
              <w:t>152,524</w:t>
            </w:r>
          </w:p>
        </w:tc>
      </w:tr>
      <w:tr>
        <w:trPr/>
        <w:tc>
          <w:tcPr>
            <w:tcW w:w="1280" w:type="dxa"/>
            <w:tcBorders/>
            <w:shd w:fill="FFFFFF" w:val="clear"/>
            <w:vAlign w:val="center"/>
          </w:tcPr>
          <w:p>
            <w:pPr>
              <w:pStyle w:val="TableContents"/>
              <w:bidi w:val="0"/>
              <w:spacing w:before="0" w:after="283"/>
              <w:jc w:val="left"/>
              <w:rPr>
                <w:sz w:val="20"/>
              </w:rPr>
            </w:pPr>
            <w:r>
              <w:rPr>
                <w:sz w:val="20"/>
              </w:rPr>
              <w:t>GPMS</w:t>
            </w:r>
          </w:p>
        </w:tc>
        <w:tc>
          <w:tcPr>
            <w:tcW w:w="1190" w:type="dxa"/>
            <w:tcBorders/>
            <w:shd w:fill="FFFFFF" w:val="clear"/>
            <w:vAlign w:val="center"/>
          </w:tcPr>
          <w:p>
            <w:pPr>
              <w:pStyle w:val="TableContents"/>
              <w:bidi w:val="0"/>
              <w:spacing w:before="0" w:after="283"/>
              <w:jc w:val="right"/>
              <w:rPr>
                <w:sz w:val="20"/>
              </w:rPr>
            </w:pPr>
            <w:r>
              <w:rPr>
                <w:sz w:val="20"/>
              </w:rPr>
              <w:t>100,569</w:t>
            </w:r>
          </w:p>
        </w:tc>
        <w:tc>
          <w:tcPr>
            <w:tcW w:w="1655" w:type="dxa"/>
            <w:tcBorders/>
            <w:shd w:fill="FFFFFF" w:val="clear"/>
            <w:vAlign w:val="center"/>
          </w:tcPr>
          <w:p>
            <w:pPr>
              <w:pStyle w:val="TableContents"/>
              <w:bidi w:val="0"/>
              <w:spacing w:before="0" w:after="283"/>
              <w:jc w:val="right"/>
              <w:rPr>
                <w:sz w:val="20"/>
              </w:rPr>
            </w:pPr>
            <w:r>
              <w:rPr>
                <w:sz w:val="20"/>
              </w:rPr>
              <w:t>101,464</w:t>
            </w:r>
          </w:p>
        </w:tc>
      </w:tr>
      <w:tr>
        <w:trPr/>
        <w:tc>
          <w:tcPr>
            <w:tcW w:w="1280" w:type="dxa"/>
            <w:tcBorders/>
            <w:shd w:fill="D5EAEA" w:val="clear"/>
            <w:vAlign w:val="center"/>
          </w:tcPr>
          <w:p>
            <w:pPr>
              <w:pStyle w:val="TableContents"/>
              <w:bidi w:val="0"/>
              <w:spacing w:before="0" w:after="283"/>
              <w:jc w:val="left"/>
              <w:rPr>
                <w:sz w:val="20"/>
              </w:rPr>
            </w:pPr>
            <w:r>
              <w:rPr>
                <w:sz w:val="20"/>
              </w:rPr>
              <w:t>Infrastructure</w:t>
            </w:r>
          </w:p>
        </w:tc>
        <w:tc>
          <w:tcPr>
            <w:tcW w:w="1190" w:type="dxa"/>
            <w:tcBorders/>
            <w:shd w:fill="D5EAEA" w:val="clear"/>
            <w:vAlign w:val="center"/>
          </w:tcPr>
          <w:p>
            <w:pPr>
              <w:pStyle w:val="TableContents"/>
              <w:bidi w:val="0"/>
              <w:spacing w:before="0" w:after="283"/>
              <w:jc w:val="right"/>
              <w:rPr>
                <w:sz w:val="20"/>
              </w:rPr>
            </w:pPr>
            <w:r>
              <w:rPr>
                <w:sz w:val="20"/>
              </w:rPr>
              <w:t>2,732</w:t>
            </w:r>
          </w:p>
        </w:tc>
        <w:tc>
          <w:tcPr>
            <w:tcW w:w="1655" w:type="dxa"/>
            <w:tcBorders/>
            <w:shd w:fill="D5EAEA" w:val="clear"/>
            <w:vAlign w:val="center"/>
          </w:tcPr>
          <w:p>
            <w:pPr>
              <w:pStyle w:val="TableContents"/>
              <w:bidi w:val="0"/>
              <w:spacing w:before="0" w:after="283"/>
              <w:jc w:val="right"/>
              <w:rPr>
                <w:sz w:val="20"/>
              </w:rPr>
            </w:pPr>
            <w:r>
              <w:rPr>
                <w:sz w:val="20"/>
              </w:rPr>
              <w:t>2,750</w:t>
            </w:r>
          </w:p>
        </w:tc>
      </w:tr>
      <w:tr>
        <w:trPr/>
        <w:tc>
          <w:tcPr>
            <w:tcW w:w="1280" w:type="dxa"/>
            <w:tcBorders/>
            <w:shd w:fill="FFFFFF" w:val="clear"/>
            <w:vAlign w:val="center"/>
          </w:tcPr>
          <w:p>
            <w:pPr>
              <w:pStyle w:val="TableContents"/>
              <w:bidi w:val="0"/>
              <w:spacing w:before="0" w:after="283"/>
              <w:jc w:val="left"/>
              <w:rPr>
                <w:sz w:val="20"/>
              </w:rPr>
            </w:pPr>
            <w:r>
              <w:rPr>
                <w:sz w:val="20"/>
              </w:rPr>
              <w:t>Private Equity</w:t>
            </w:r>
          </w:p>
        </w:tc>
        <w:tc>
          <w:tcPr>
            <w:tcW w:w="1190" w:type="dxa"/>
            <w:tcBorders/>
            <w:shd w:fill="FFFFFF" w:val="clear"/>
            <w:vAlign w:val="center"/>
          </w:tcPr>
          <w:p>
            <w:pPr>
              <w:pStyle w:val="TableContents"/>
              <w:bidi w:val="0"/>
              <w:spacing w:before="0" w:after="283"/>
              <w:jc w:val="right"/>
              <w:rPr>
                <w:sz w:val="20"/>
              </w:rPr>
            </w:pPr>
            <w:r>
              <w:rPr>
                <w:sz w:val="20"/>
              </w:rPr>
              <w:t>67,828</w:t>
            </w:r>
          </w:p>
        </w:tc>
        <w:tc>
          <w:tcPr>
            <w:tcW w:w="1655" w:type="dxa"/>
            <w:tcBorders/>
            <w:shd w:fill="FFFFFF" w:val="clear"/>
            <w:vAlign w:val="center"/>
          </w:tcPr>
          <w:p>
            <w:pPr>
              <w:pStyle w:val="TableContents"/>
              <w:bidi w:val="0"/>
              <w:spacing w:before="0" w:after="283"/>
              <w:jc w:val="right"/>
              <w:rPr>
                <w:sz w:val="20"/>
              </w:rPr>
            </w:pPr>
            <w:r>
              <w:rPr>
                <w:sz w:val="20"/>
              </w:rPr>
              <w:t>36,391</w:t>
            </w:r>
          </w:p>
        </w:tc>
      </w:tr>
      <w:tr>
        <w:trPr/>
        <w:tc>
          <w:tcPr>
            <w:tcW w:w="1280" w:type="dxa"/>
            <w:tcBorders/>
            <w:shd w:fill="D5EAEA" w:val="clear"/>
            <w:vAlign w:val="center"/>
          </w:tcPr>
          <w:p>
            <w:pPr>
              <w:pStyle w:val="TableContents"/>
              <w:bidi w:val="0"/>
              <w:spacing w:before="0" w:after="283"/>
              <w:jc w:val="left"/>
              <w:rPr>
                <w:sz w:val="20"/>
              </w:rPr>
            </w:pPr>
            <w:r>
              <w:rPr>
                <w:sz w:val="20"/>
              </w:rPr>
              <w:t>Public Equities</w:t>
            </w:r>
          </w:p>
        </w:tc>
        <w:tc>
          <w:tcPr>
            <w:tcW w:w="1190" w:type="dxa"/>
            <w:tcBorders/>
            <w:shd w:fill="D5EAEA" w:val="clear"/>
            <w:vAlign w:val="center"/>
          </w:tcPr>
          <w:p>
            <w:pPr>
              <w:pStyle w:val="TableContents"/>
              <w:bidi w:val="0"/>
              <w:spacing w:before="0" w:after="283"/>
              <w:jc w:val="right"/>
              <w:rPr>
                <w:sz w:val="20"/>
              </w:rPr>
            </w:pPr>
            <w:r>
              <w:rPr>
                <w:sz w:val="20"/>
              </w:rPr>
              <w:t>48,201</w:t>
            </w:r>
          </w:p>
        </w:tc>
        <w:tc>
          <w:tcPr>
            <w:tcW w:w="1655" w:type="dxa"/>
            <w:tcBorders/>
            <w:shd w:fill="D5EAEA" w:val="clear"/>
            <w:vAlign w:val="center"/>
          </w:tcPr>
          <w:p>
            <w:pPr>
              <w:pStyle w:val="TableContents"/>
              <w:bidi w:val="0"/>
              <w:spacing w:before="0" w:after="283"/>
              <w:jc w:val="right"/>
              <w:rPr>
                <w:sz w:val="20"/>
              </w:rPr>
            </w:pPr>
            <w:r>
              <w:rPr>
                <w:sz w:val="20"/>
              </w:rPr>
              <w:t>48,515</w:t>
            </w:r>
          </w:p>
        </w:tc>
      </w:tr>
      <w:tr>
        <w:trPr/>
        <w:tc>
          <w:tcPr>
            <w:tcW w:w="1280" w:type="dxa"/>
            <w:tcBorders/>
            <w:shd w:fill="FFFFFF" w:val="clear"/>
            <w:vAlign w:val="center"/>
          </w:tcPr>
          <w:p>
            <w:pPr>
              <w:pStyle w:val="TableContents"/>
              <w:bidi w:val="0"/>
              <w:spacing w:before="0" w:after="283"/>
              <w:jc w:val="left"/>
              <w:rPr>
                <w:sz w:val="20"/>
              </w:rPr>
            </w:pPr>
            <w:r>
              <w:rPr>
                <w:sz w:val="20"/>
              </w:rPr>
              <w:t>Real Estate</w:t>
            </w:r>
          </w:p>
        </w:tc>
        <w:tc>
          <w:tcPr>
            <w:tcW w:w="1190" w:type="dxa"/>
            <w:tcBorders/>
            <w:shd w:fill="FFFFFF" w:val="clear"/>
            <w:vAlign w:val="center"/>
          </w:tcPr>
          <w:p>
            <w:pPr>
              <w:pStyle w:val="TableContents"/>
              <w:bidi w:val="0"/>
              <w:spacing w:before="0" w:after="283"/>
              <w:jc w:val="right"/>
              <w:rPr>
                <w:sz w:val="20"/>
              </w:rPr>
            </w:pPr>
            <w:r>
              <w:rPr>
                <w:sz w:val="20"/>
              </w:rPr>
              <w:t>96,755</w:t>
            </w:r>
          </w:p>
        </w:tc>
        <w:tc>
          <w:tcPr>
            <w:tcW w:w="1655" w:type="dxa"/>
            <w:tcBorders/>
            <w:shd w:fill="FFFFFF" w:val="clear"/>
            <w:vAlign w:val="center"/>
          </w:tcPr>
          <w:p>
            <w:pPr>
              <w:pStyle w:val="TableContents"/>
              <w:bidi w:val="0"/>
              <w:spacing w:before="0" w:after="283"/>
              <w:jc w:val="right"/>
              <w:rPr>
                <w:sz w:val="20"/>
              </w:rPr>
            </w:pPr>
            <w:r>
              <w:rPr>
                <w:sz w:val="20"/>
              </w:rPr>
              <w:t>90,453</w:t>
            </w:r>
          </w:p>
        </w:tc>
      </w:tr>
      <w:tr>
        <w:trPr/>
        <w:tc>
          <w:tcPr>
            <w:tcW w:w="1280" w:type="dxa"/>
            <w:tcBorders/>
            <w:shd w:fill="D5EAEA" w:val="clear"/>
            <w:vAlign w:val="center"/>
          </w:tcPr>
          <w:p>
            <w:pPr>
              <w:pStyle w:val="TableContents"/>
              <w:bidi w:val="0"/>
              <w:spacing w:before="0" w:after="283"/>
              <w:jc w:val="left"/>
              <w:rPr>
                <w:sz w:val="20"/>
              </w:rPr>
            </w:pPr>
            <w:r>
              <w:rPr>
                <w:sz w:val="20"/>
              </w:rPr>
              <w:t>Energy trading</w:t>
            </w:r>
          </w:p>
        </w:tc>
        <w:tc>
          <w:tcPr>
            <w:tcW w:w="1190" w:type="dxa"/>
            <w:tcBorders/>
            <w:shd w:fill="D5EAEA" w:val="clear"/>
            <w:vAlign w:val="center"/>
          </w:tcPr>
          <w:p>
            <w:pPr>
              <w:pStyle w:val="TableContents"/>
              <w:bidi w:val="0"/>
              <w:spacing w:before="0" w:after="283"/>
              <w:jc w:val="right"/>
              <w:rPr>
                <w:sz w:val="20"/>
              </w:rPr>
            </w:pPr>
            <w:r>
              <w:rPr>
                <w:sz w:val="20"/>
              </w:rPr>
              <w:t>8,410</w:t>
            </w:r>
          </w:p>
        </w:tc>
        <w:tc>
          <w:tcPr>
            <w:tcW w:w="1655" w:type="dxa"/>
            <w:tcBorders/>
            <w:shd w:fill="D5EAEA" w:val="clear"/>
            <w:vAlign w:val="center"/>
          </w:tcPr>
          <w:p>
            <w:pPr>
              <w:pStyle w:val="TableContents"/>
              <w:bidi w:val="0"/>
              <w:spacing w:before="0" w:after="283"/>
              <w:jc w:val="right"/>
              <w:rPr>
                <w:sz w:val="20"/>
              </w:rPr>
            </w:pPr>
            <w:r>
              <w:rPr>
                <w:sz w:val="20"/>
              </w:rPr>
              <w:t>8,029</w:t>
            </w:r>
          </w:p>
        </w:tc>
      </w:tr>
      <w:tr>
        <w:trPr/>
        <w:tc>
          <w:tcPr>
            <w:tcW w:w="1280" w:type="dxa"/>
            <w:tcBorders/>
            <w:shd w:fill="FFFFFF" w:val="clear"/>
            <w:vAlign w:val="center"/>
          </w:tcPr>
          <w:p>
            <w:pPr>
              <w:pStyle w:val="TableContents"/>
              <w:bidi w:val="0"/>
              <w:spacing w:before="0" w:after="283"/>
              <w:jc w:val="left"/>
              <w:rPr>
                <w:b/>
                <w:sz w:val="20"/>
              </w:rPr>
            </w:pPr>
            <w:r>
              <w:rPr>
                <w:b/>
                <w:sz w:val="20"/>
              </w:rPr>
              <w:t xml:space="preserve">Balance </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487,066</w:t>
            </w:r>
          </w:p>
        </w:tc>
        <w:tc>
          <w:tcPr>
            <w:tcW w:w="165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440,126</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50"/>
        <w:gridCol w:w="9694"/>
      </w:tblGrid>
      <w:tr>
        <w:trPr/>
        <w:tc>
          <w:tcPr>
            <w:tcW w:w="6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(e)</w:t>
            </w:r>
          </w:p>
        </w:tc>
        <w:tc>
          <w:tcPr>
            <w:tcW w:w="9694" w:type="dxa"/>
            <w:tcBorders/>
            <w:vAlign w:val="center"/>
          </w:tcPr>
          <w:p>
            <w:pPr>
              <w:pStyle w:val="TableContents"/>
              <w:bidi w:val="0"/>
              <w:spacing w:before="0" w:after="283"/>
              <w:jc w:val="both"/>
              <w:rPr/>
            </w:pPr>
            <w:r>
              <w:rPr/>
              <w:t>The following is the breakdown of intangible assets by region:</w:t>
            </w:r>
          </w:p>
        </w:tc>
      </w:tr>
    </w:tbl>
    <w:p>
      <w:pPr>
        <w:pStyle w:val="TextBody"/>
        <w:bidi w:val="0"/>
        <w:spacing w:before="0" w:after="0"/>
        <w:jc w:val="left"/>
        <w:rPr>
          <w:caps w:val="false"/>
          <w:smallCaps w:val="false"/>
        </w:rPr>
      </w:pPr>
      <w:r>
        <w:rPr>
          <w:caps w:val="false"/>
          <w:smallCaps w:val="false"/>
        </w:rPr>
        <w:t> </w:t>
      </w:r>
    </w:p>
    <w:tbl>
      <w:tblPr>
        <w:tblW w:w="5220" w:type="dxa"/>
        <w:jc w:val="center"/>
        <w:tblInd w:w="0" w:type="dxa"/>
        <w:tblLayout w:type="fixed"/>
        <w:tblCellMar>
          <w:top w:w="0" w:type="dxa"/>
          <w:left w:w="0" w:type="dxa"/>
          <w:bottom w:w="0" w:type="dxa"/>
          <w:right w:w="0" w:type="dxa"/>
        </w:tblCellMar>
      </w:tblPr>
      <w:tblGrid>
        <w:gridCol w:w="2375"/>
        <w:gridCol w:w="1190"/>
        <w:gridCol w:w="1655"/>
      </w:tblGrid>
      <w:tr>
        <w:trPr/>
        <w:tc>
          <w:tcPr>
            <w:tcW w:w="237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2375" w:type="dxa"/>
            <w:tcBorders/>
            <w:shd w:fill="D5EAEA" w:val="clear"/>
            <w:vAlign w:val="center"/>
          </w:tcPr>
          <w:p>
            <w:pPr>
              <w:pStyle w:val="TableContents"/>
              <w:bidi w:val="0"/>
              <w:spacing w:before="0" w:after="283"/>
              <w:jc w:val="left"/>
              <w:rPr>
                <w:sz w:val="20"/>
              </w:rPr>
            </w:pPr>
            <w:r>
              <w:rPr>
                <w:sz w:val="20"/>
              </w:rPr>
              <w:t>Brazil (i)</w:t>
            </w:r>
          </w:p>
        </w:tc>
        <w:tc>
          <w:tcPr>
            <w:tcW w:w="1190" w:type="dxa"/>
            <w:tcBorders/>
            <w:shd w:fill="D5EAEA" w:val="clear"/>
            <w:vAlign w:val="center"/>
          </w:tcPr>
          <w:p>
            <w:pPr>
              <w:pStyle w:val="TableContents"/>
              <w:bidi w:val="0"/>
              <w:spacing w:before="0" w:after="283"/>
              <w:jc w:val="right"/>
              <w:rPr/>
            </w:pPr>
            <w:r>
              <w:rPr/>
              <w:t> </w:t>
            </w:r>
            <w:r>
              <w:rPr>
                <w:sz w:val="20"/>
              </w:rPr>
              <w:t xml:space="preserve">444,374 </w:t>
            </w:r>
          </w:p>
        </w:tc>
        <w:tc>
          <w:tcPr>
            <w:tcW w:w="1655" w:type="dxa"/>
            <w:tcBorders/>
            <w:shd w:fill="D5EAEA" w:val="clear"/>
            <w:vAlign w:val="center"/>
          </w:tcPr>
          <w:p>
            <w:pPr>
              <w:pStyle w:val="TableContents"/>
              <w:bidi w:val="0"/>
              <w:spacing w:before="0" w:after="283"/>
              <w:jc w:val="right"/>
              <w:rPr>
                <w:sz w:val="20"/>
              </w:rPr>
            </w:pPr>
            <w:r>
              <w:rPr>
                <w:sz w:val="20"/>
              </w:rPr>
              <w:t xml:space="preserve">254,780 </w:t>
            </w:r>
          </w:p>
        </w:tc>
      </w:tr>
      <w:tr>
        <w:trPr/>
        <w:tc>
          <w:tcPr>
            <w:tcW w:w="2375" w:type="dxa"/>
            <w:tcBorders/>
            <w:shd w:fill="FFFFFF" w:val="clear"/>
            <w:vAlign w:val="center"/>
          </w:tcPr>
          <w:p>
            <w:pPr>
              <w:pStyle w:val="TableContents"/>
              <w:bidi w:val="0"/>
              <w:spacing w:before="0" w:after="283"/>
              <w:jc w:val="left"/>
              <w:rPr>
                <w:sz w:val="20"/>
              </w:rPr>
            </w:pPr>
            <w:r>
              <w:rPr>
                <w:sz w:val="20"/>
              </w:rPr>
              <w:t>Cayman Islands (ii)</w:t>
            </w:r>
          </w:p>
        </w:tc>
        <w:tc>
          <w:tcPr>
            <w:tcW w:w="1190" w:type="dxa"/>
            <w:tcBorders/>
            <w:shd w:fill="FFFFFF" w:val="clear"/>
            <w:vAlign w:val="center"/>
          </w:tcPr>
          <w:p>
            <w:pPr>
              <w:pStyle w:val="TableContents"/>
              <w:bidi w:val="0"/>
              <w:spacing w:before="0" w:after="283"/>
              <w:jc w:val="right"/>
              <w:rPr/>
            </w:pPr>
            <w:r>
              <w:rPr/>
              <w:t> </w:t>
            </w:r>
            <w:r>
              <w:rPr>
                <w:sz w:val="20"/>
              </w:rPr>
              <w:t xml:space="preserve">218,952 </w:t>
            </w:r>
          </w:p>
        </w:tc>
        <w:tc>
          <w:tcPr>
            <w:tcW w:w="1655" w:type="dxa"/>
            <w:tcBorders/>
            <w:shd w:fill="FFFFFF" w:val="clear"/>
            <w:vAlign w:val="center"/>
          </w:tcPr>
          <w:p>
            <w:pPr>
              <w:pStyle w:val="TableContents"/>
              <w:bidi w:val="0"/>
              <w:spacing w:before="0" w:after="283"/>
              <w:jc w:val="right"/>
              <w:rPr>
                <w:sz w:val="20"/>
              </w:rPr>
            </w:pPr>
            <w:r>
              <w:rPr>
                <w:sz w:val="20"/>
              </w:rPr>
              <w:t xml:space="preserve">215,231 </w:t>
            </w:r>
          </w:p>
        </w:tc>
      </w:tr>
      <w:tr>
        <w:trPr/>
        <w:tc>
          <w:tcPr>
            <w:tcW w:w="2375" w:type="dxa"/>
            <w:tcBorders/>
            <w:shd w:fill="D5EAEA" w:val="clear"/>
            <w:vAlign w:val="center"/>
          </w:tcPr>
          <w:p>
            <w:pPr>
              <w:pStyle w:val="TableContents"/>
              <w:bidi w:val="0"/>
              <w:spacing w:before="0" w:after="283"/>
              <w:jc w:val="left"/>
              <w:rPr>
                <w:sz w:val="20"/>
              </w:rPr>
            </w:pPr>
            <w:r>
              <w:rPr>
                <w:sz w:val="20"/>
              </w:rPr>
              <w:t>Chile (iii)</w:t>
            </w:r>
          </w:p>
        </w:tc>
        <w:tc>
          <w:tcPr>
            <w:tcW w:w="1190" w:type="dxa"/>
            <w:tcBorders/>
            <w:shd w:fill="D5EAEA" w:val="clear"/>
            <w:vAlign w:val="center"/>
          </w:tcPr>
          <w:p>
            <w:pPr>
              <w:pStyle w:val="TableContents"/>
              <w:bidi w:val="0"/>
              <w:spacing w:before="0" w:after="283"/>
              <w:jc w:val="right"/>
              <w:rPr/>
            </w:pPr>
            <w:r>
              <w:rPr/>
              <w:t> </w:t>
            </w:r>
            <w:r>
              <w:rPr>
                <w:sz w:val="20"/>
              </w:rPr>
              <w:t xml:space="preserve">111,621 </w:t>
            </w:r>
          </w:p>
        </w:tc>
        <w:tc>
          <w:tcPr>
            <w:tcW w:w="1655" w:type="dxa"/>
            <w:tcBorders/>
            <w:shd w:fill="D5EAEA" w:val="clear"/>
            <w:vAlign w:val="center"/>
          </w:tcPr>
          <w:p>
            <w:pPr>
              <w:pStyle w:val="TableContents"/>
              <w:bidi w:val="0"/>
              <w:spacing w:before="0" w:after="283"/>
              <w:jc w:val="right"/>
              <w:rPr>
                <w:sz w:val="20"/>
              </w:rPr>
            </w:pPr>
            <w:r>
              <w:rPr>
                <w:sz w:val="20"/>
              </w:rPr>
              <w:t>117,270</w:t>
            </w:r>
          </w:p>
        </w:tc>
      </w:tr>
      <w:tr>
        <w:trPr/>
        <w:tc>
          <w:tcPr>
            <w:tcW w:w="2375" w:type="dxa"/>
            <w:tcBorders/>
            <w:shd w:fill="FFFFFF" w:val="clear"/>
            <w:vAlign w:val="center"/>
          </w:tcPr>
          <w:p>
            <w:pPr>
              <w:pStyle w:val="TableContents"/>
              <w:bidi w:val="0"/>
              <w:spacing w:before="0" w:after="283"/>
              <w:jc w:val="left"/>
              <w:rPr>
                <w:sz w:val="20"/>
              </w:rPr>
            </w:pPr>
            <w:r>
              <w:rPr>
                <w:sz w:val="20"/>
              </w:rPr>
              <w:t>Colombia (iv)</w:t>
            </w:r>
          </w:p>
        </w:tc>
        <w:tc>
          <w:tcPr>
            <w:tcW w:w="1190" w:type="dxa"/>
            <w:tcBorders/>
            <w:shd w:fill="FFFFFF" w:val="clear"/>
            <w:vAlign w:val="center"/>
          </w:tcPr>
          <w:p>
            <w:pPr>
              <w:pStyle w:val="TableContents"/>
              <w:bidi w:val="0"/>
              <w:spacing w:before="0" w:after="283"/>
              <w:jc w:val="right"/>
              <w:rPr/>
            </w:pPr>
            <w:r>
              <w:rPr/>
              <w:t> </w:t>
            </w:r>
            <w:r>
              <w:rPr>
                <w:sz w:val="20"/>
              </w:rPr>
              <w:t xml:space="preserve">86,868 </w:t>
            </w:r>
          </w:p>
        </w:tc>
        <w:tc>
          <w:tcPr>
            <w:tcW w:w="1655" w:type="dxa"/>
            <w:tcBorders/>
            <w:shd w:fill="FFFFFF" w:val="clear"/>
            <w:vAlign w:val="center"/>
          </w:tcPr>
          <w:p>
            <w:pPr>
              <w:pStyle w:val="TableContents"/>
              <w:bidi w:val="0"/>
              <w:spacing w:before="0" w:after="283"/>
              <w:jc w:val="right"/>
              <w:rPr>
                <w:sz w:val="20"/>
              </w:rPr>
            </w:pPr>
            <w:r>
              <w:rPr>
                <w:sz w:val="20"/>
              </w:rPr>
              <w:t>81,308</w:t>
            </w:r>
          </w:p>
        </w:tc>
      </w:tr>
      <w:tr>
        <w:trPr/>
        <w:tc>
          <w:tcPr>
            <w:tcW w:w="2375" w:type="dxa"/>
            <w:tcBorders/>
            <w:shd w:fill="D5EAEA" w:val="clear"/>
            <w:vAlign w:val="center"/>
          </w:tcPr>
          <w:p>
            <w:pPr>
              <w:pStyle w:val="TableContents"/>
              <w:bidi w:val="0"/>
              <w:spacing w:before="0" w:after="283"/>
              <w:jc w:val="left"/>
              <w:rPr>
                <w:sz w:val="20"/>
              </w:rPr>
            </w:pPr>
            <w:r>
              <w:rPr>
                <w:sz w:val="20"/>
              </w:rPr>
              <w:t>Mexico</w:t>
            </w:r>
          </w:p>
        </w:tc>
        <w:tc>
          <w:tcPr>
            <w:tcW w:w="1190" w:type="dxa"/>
            <w:tcBorders/>
            <w:shd w:fill="D5EAEA" w:val="clear"/>
            <w:vAlign w:val="center"/>
          </w:tcPr>
          <w:p>
            <w:pPr>
              <w:pStyle w:val="TableContents"/>
              <w:bidi w:val="0"/>
              <w:spacing w:before="0" w:after="283"/>
              <w:jc w:val="right"/>
              <w:rPr>
                <w:sz w:val="20"/>
              </w:rPr>
            </w:pPr>
            <w:r>
              <w:rPr>
                <w:sz w:val="20"/>
              </w:rPr>
              <w:t>4,606</w:t>
            </w:r>
          </w:p>
        </w:tc>
        <w:tc>
          <w:tcPr>
            <w:tcW w:w="1655" w:type="dxa"/>
            <w:tcBorders/>
            <w:shd w:fill="D5EAEA" w:val="clear"/>
            <w:vAlign w:val="center"/>
          </w:tcPr>
          <w:p>
            <w:pPr>
              <w:pStyle w:val="TableContents"/>
              <w:bidi w:val="0"/>
              <w:spacing w:before="0" w:after="283"/>
              <w:jc w:val="right"/>
              <w:rPr>
                <w:sz w:val="20"/>
              </w:rPr>
            </w:pPr>
            <w:r>
              <w:rPr>
                <w:sz w:val="20"/>
              </w:rPr>
              <w:t>4,127</w:t>
            </w:r>
          </w:p>
        </w:tc>
      </w:tr>
      <w:tr>
        <w:trPr/>
        <w:tc>
          <w:tcPr>
            <w:tcW w:w="2375" w:type="dxa"/>
            <w:tcBorders/>
            <w:shd w:fill="FFFFFF" w:val="clear"/>
            <w:vAlign w:val="center"/>
          </w:tcPr>
          <w:p>
            <w:pPr>
              <w:pStyle w:val="TableContents"/>
              <w:bidi w:val="0"/>
              <w:spacing w:before="0" w:after="283"/>
              <w:jc w:val="left"/>
              <w:rPr>
                <w:sz w:val="20"/>
              </w:rPr>
            </w:pPr>
            <w:r>
              <w:rPr>
                <w:sz w:val="20"/>
              </w:rPr>
              <w:t>United Kingdom (v)</w:t>
            </w:r>
          </w:p>
        </w:tc>
        <w:tc>
          <w:tcPr>
            <w:tcW w:w="1190" w:type="dxa"/>
            <w:tcBorders/>
            <w:shd w:fill="FFFFFF" w:val="clear"/>
            <w:vAlign w:val="center"/>
          </w:tcPr>
          <w:p>
            <w:pPr>
              <w:pStyle w:val="TableContents"/>
              <w:bidi w:val="0"/>
              <w:spacing w:before="0" w:after="283"/>
              <w:jc w:val="right"/>
              <w:rPr>
                <w:sz w:val="20"/>
              </w:rPr>
            </w:pPr>
            <w:r>
              <w:rPr>
                <w:sz w:val="20"/>
              </w:rPr>
              <w:t>145,341</w:t>
            </w:r>
          </w:p>
        </w:tc>
        <w:tc>
          <w:tcPr>
            <w:tcW w:w="1655" w:type="dxa"/>
            <w:tcBorders/>
            <w:shd w:fill="FFFFFF" w:val="clear"/>
            <w:vAlign w:val="center"/>
          </w:tcPr>
          <w:p>
            <w:pPr>
              <w:pStyle w:val="TableContents"/>
              <w:bidi w:val="0"/>
              <w:spacing w:before="0" w:after="283"/>
              <w:jc w:val="right"/>
              <w:rPr>
                <w:sz w:val="20"/>
              </w:rPr>
            </w:pPr>
            <w:r>
              <w:rPr>
                <w:sz w:val="20"/>
              </w:rPr>
              <w:t>149,258</w:t>
            </w:r>
          </w:p>
        </w:tc>
      </w:tr>
      <w:tr>
        <w:trPr/>
        <w:tc>
          <w:tcPr>
            <w:tcW w:w="2375" w:type="dxa"/>
            <w:tcBorders/>
            <w:shd w:fill="D5EAEA" w:val="clear"/>
            <w:vAlign w:val="center"/>
          </w:tcPr>
          <w:p>
            <w:pPr>
              <w:pStyle w:val="TableContents"/>
              <w:bidi w:val="0"/>
              <w:spacing w:before="0" w:after="283"/>
              <w:jc w:val="left"/>
              <w:rPr>
                <w:sz w:val="20"/>
              </w:rPr>
            </w:pPr>
            <w:r>
              <w:rPr>
                <w:sz w:val="20"/>
              </w:rPr>
              <w:t>United States of America (vi)</w:t>
            </w:r>
          </w:p>
        </w:tc>
        <w:tc>
          <w:tcPr>
            <w:tcW w:w="1190" w:type="dxa"/>
            <w:tcBorders/>
            <w:shd w:fill="D5EAEA" w:val="clear"/>
            <w:vAlign w:val="center"/>
          </w:tcPr>
          <w:p>
            <w:pPr>
              <w:pStyle w:val="TableContents"/>
              <w:bidi w:val="0"/>
              <w:spacing w:before="0" w:after="283"/>
              <w:jc w:val="right"/>
              <w:rPr>
                <w:sz w:val="20"/>
              </w:rPr>
            </w:pPr>
            <w:r>
              <w:rPr>
                <w:sz w:val="20"/>
              </w:rPr>
              <w:t>50,686</w:t>
            </w:r>
          </w:p>
        </w:tc>
        <w:tc>
          <w:tcPr>
            <w:tcW w:w="1655" w:type="dxa"/>
            <w:tcBorders/>
            <w:shd w:fill="D5EAEA" w:val="clear"/>
            <w:vAlign w:val="center"/>
          </w:tcPr>
          <w:p>
            <w:pPr>
              <w:pStyle w:val="TableContents"/>
              <w:bidi w:val="0"/>
              <w:spacing w:before="0" w:after="283"/>
              <w:jc w:val="right"/>
              <w:rPr>
                <w:sz w:val="20"/>
              </w:rPr>
            </w:pPr>
            <w:r>
              <w:rPr>
                <w:sz w:val="20"/>
              </w:rPr>
              <w:t>32</w:t>
            </w:r>
          </w:p>
        </w:tc>
      </w:tr>
      <w:tr>
        <w:trPr/>
        <w:tc>
          <w:tcPr>
            <w:tcW w:w="2375" w:type="dxa"/>
            <w:tcBorders/>
            <w:shd w:fill="FFFFFF" w:val="clear"/>
            <w:vAlign w:val="center"/>
          </w:tcPr>
          <w:p>
            <w:pPr>
              <w:pStyle w:val="TableContents"/>
              <w:bidi w:val="0"/>
              <w:spacing w:before="0" w:after="283"/>
              <w:jc w:val="left"/>
              <w:rPr>
                <w:sz w:val="20"/>
              </w:rPr>
            </w:pPr>
            <w:r>
              <w:rPr>
                <w:sz w:val="20"/>
              </w:rPr>
              <w:t>Other</w:t>
            </w:r>
          </w:p>
        </w:tc>
        <w:tc>
          <w:tcPr>
            <w:tcW w:w="1190" w:type="dxa"/>
            <w:tcBorders/>
            <w:shd w:fill="FFFFFF" w:val="clear"/>
            <w:vAlign w:val="center"/>
          </w:tcPr>
          <w:p>
            <w:pPr>
              <w:pStyle w:val="TableContents"/>
              <w:bidi w:val="0"/>
              <w:spacing w:before="0" w:after="283"/>
              <w:jc w:val="right"/>
              <w:rPr>
                <w:sz w:val="20"/>
              </w:rPr>
            </w:pPr>
            <w:r>
              <w:rPr>
                <w:sz w:val="20"/>
              </w:rPr>
              <w:t>835</w:t>
            </w:r>
          </w:p>
        </w:tc>
        <w:tc>
          <w:tcPr>
            <w:tcW w:w="1655" w:type="dxa"/>
            <w:tcBorders/>
            <w:shd w:fill="FFFFFF" w:val="clear"/>
            <w:vAlign w:val="center"/>
          </w:tcPr>
          <w:p>
            <w:pPr>
              <w:pStyle w:val="TableContents"/>
              <w:bidi w:val="0"/>
              <w:spacing w:before="0" w:after="283"/>
              <w:jc w:val="right"/>
              <w:rPr>
                <w:sz w:val="20"/>
              </w:rPr>
            </w:pPr>
            <w:r>
              <w:rPr>
                <w:sz w:val="20"/>
              </w:rPr>
              <w:t>2,145</w:t>
            </w:r>
          </w:p>
        </w:tc>
      </w:tr>
      <w:tr>
        <w:trPr/>
        <w:tc>
          <w:tcPr>
            <w:tcW w:w="2375" w:type="dxa"/>
            <w:tcBorders/>
            <w:shd w:fill="D5EAEA" w:val="clear"/>
            <w:vAlign w:val="center"/>
          </w:tcPr>
          <w:p>
            <w:pPr>
              <w:pStyle w:val="TableContents"/>
              <w:bidi w:val="0"/>
              <w:spacing w:before="0" w:after="283"/>
              <w:jc w:val="left"/>
              <w:rPr>
                <w:b/>
                <w:sz w:val="20"/>
              </w:rPr>
            </w:pPr>
            <w:r>
              <w:rPr>
                <w:b/>
                <w:sz w:val="20"/>
              </w:rPr>
              <w:t xml:space="preserve">Balance </w:t>
            </w:r>
          </w:p>
        </w:tc>
        <w:tc>
          <w:tcPr>
            <w:tcW w:w="1190"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1,063,283</w:t>
            </w:r>
          </w:p>
        </w:tc>
        <w:tc>
          <w:tcPr>
            <w:tcW w:w="1655"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824,151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allocated based on where the assets are located and include acquired intangible assets. For acquired intangible assets, the Company considers that the location of the intangibles is best reflected by the manager’s location of those assets.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Intangible assets allocated to Brazil relate to the acquisitions of VBI, Kamaroopin, Tria, Credit Suisse Hedging-Griffo Corretora de Valores S.A (“CSHG”), Solis, Iter, RBR, BlueMacaw, Bari, Move, Genial and Vectis.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6"/>
        <w:gridCol w:w="9949"/>
      </w:tblGrid>
      <w:tr>
        <w:trPr/>
        <w:tc>
          <w:tcPr>
            <w:tcW w:w="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ii.</w:t>
            </w:r>
          </w:p>
        </w:tc>
        <w:tc>
          <w:tcPr>
            <w:tcW w:w="9949" w:type="dxa"/>
            <w:tcBorders/>
            <w:vAlign w:val="center"/>
          </w:tcPr>
          <w:p>
            <w:pPr>
              <w:pStyle w:val="TableContents"/>
              <w:bidi w:val="0"/>
              <w:spacing w:before="0" w:after="283"/>
              <w:jc w:val="left"/>
              <w:rPr/>
            </w:pPr>
            <w:r>
              <w:rPr/>
              <w:t>Intangible assets allocated to the Cayman Islands relate to the acquisitions of IGAH and MAM II.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71"/>
        <w:gridCol w:w="9895"/>
      </w:tblGrid>
      <w:tr>
        <w:trPr/>
        <w:tc>
          <w:tcPr>
            <w:tcW w:w="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iii.</w:t>
            </w:r>
          </w:p>
        </w:tc>
        <w:tc>
          <w:tcPr>
            <w:tcW w:w="9895" w:type="dxa"/>
            <w:tcBorders/>
            <w:vAlign w:val="center"/>
          </w:tcPr>
          <w:p>
            <w:pPr>
              <w:pStyle w:val="TableContents"/>
              <w:bidi w:val="0"/>
              <w:spacing w:before="0" w:after="283"/>
              <w:jc w:val="left"/>
              <w:rPr/>
            </w:pPr>
            <w:r>
              <w:rPr/>
              <w:t>Intangible assets allocated to Chile relate to the acquisition of Moneda for the acquisition of MAM 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19"/>
        <w:gridCol w:w="9840"/>
      </w:tblGrid>
      <w:tr>
        <w:trPr/>
        <w:tc>
          <w:tcPr>
            <w:tcW w:w="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iv.</w:t>
            </w:r>
          </w:p>
        </w:tc>
        <w:tc>
          <w:tcPr>
            <w:tcW w:w="9840" w:type="dxa"/>
            <w:tcBorders/>
            <w:vAlign w:val="center"/>
          </w:tcPr>
          <w:p>
            <w:pPr>
              <w:pStyle w:val="TableContents"/>
              <w:bidi w:val="0"/>
              <w:spacing w:before="0" w:after="283"/>
              <w:jc w:val="left"/>
              <w:rPr/>
            </w:pPr>
            <w:r>
              <w:rPr/>
              <w:t>Intangible assets allocated to Colombia relate to the acquisitions of PAM and Nexus.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47"/>
        <w:gridCol w:w="9911"/>
      </w:tblGrid>
      <w:tr>
        <w:trPr/>
        <w:tc>
          <w:tcPr>
            <w:tcW w:w="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v.</w:t>
            </w:r>
          </w:p>
        </w:tc>
        <w:tc>
          <w:tcPr>
            <w:tcW w:w="9911" w:type="dxa"/>
            <w:tcBorders/>
            <w:vAlign w:val="center"/>
          </w:tcPr>
          <w:p>
            <w:pPr>
              <w:pStyle w:val="TableContents"/>
              <w:bidi w:val="0"/>
              <w:spacing w:before="0" w:after="283"/>
              <w:jc w:val="left"/>
              <w:rPr/>
            </w:pPr>
            <w:r>
              <w:rPr/>
              <w:t>Intangible assets allocated to the United Kingdom relate to the acquisition of GPMS.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02"/>
        <w:gridCol w:w="9859"/>
      </w:tblGrid>
      <w:tr>
        <w:trPr/>
        <w:tc>
          <w:tcPr>
            <w:tcW w:w="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vi.</w:t>
            </w:r>
          </w:p>
        </w:tc>
        <w:tc>
          <w:tcPr>
            <w:tcW w:w="9859" w:type="dxa"/>
            <w:tcBorders/>
            <w:vAlign w:val="center"/>
          </w:tcPr>
          <w:p>
            <w:pPr>
              <w:pStyle w:val="TableContents"/>
              <w:bidi w:val="0"/>
              <w:spacing w:before="0" w:after="283"/>
              <w:jc w:val="left"/>
              <w:rPr/>
            </w:pPr>
            <w:r>
              <w:rPr/>
              <w:t>Intangible assets allocated to the United States of America relate to the acquisition of WP.</w:t>
            </w:r>
          </w:p>
        </w:tc>
      </w:tr>
    </w:tbl>
    <w:p>
      <w:pPr>
        <w:pStyle w:val="TextBody"/>
        <w:bidi w:val="0"/>
        <w:spacing w:before="0" w:after="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35"/>
        <w:gridCol w:w="3395"/>
      </w:tblGrid>
      <w:tr>
        <w:trPr/>
        <w:tc>
          <w:tcPr>
            <w:tcW w:w="335" w:type="dxa"/>
            <w:tcBorders/>
            <w:vAlign w:val="center"/>
          </w:tcPr>
          <w:p>
            <w:pPr>
              <w:pStyle w:val="TableContents"/>
              <w:bidi w:val="0"/>
              <w:spacing w:before="0" w:after="283"/>
              <w:jc w:val="left"/>
              <w:rPr/>
            </w:pPr>
            <w:r>
              <w:rPr/>
              <w:t>15.</w:t>
            </w:r>
          </w:p>
        </w:tc>
        <w:tc>
          <w:tcPr>
            <w:tcW w:w="3395" w:type="dxa"/>
            <w:tcBorders/>
            <w:vAlign w:val="center"/>
          </w:tcPr>
          <w:p>
            <w:pPr>
              <w:pStyle w:val="TableContents"/>
              <w:bidi w:val="0"/>
              <w:spacing w:before="0" w:after="283"/>
              <w:jc w:val="left"/>
              <w:rPr/>
            </w:pPr>
            <w:r>
              <w:rPr/>
              <w:t>Personnel and related taxes payable</w:t>
            </w:r>
          </w:p>
        </w:tc>
      </w:tr>
    </w:tbl>
    <w:p>
      <w:pPr>
        <w:pStyle w:val="TextBody"/>
        <w:bidi w:val="0"/>
        <w:spacing w:before="0" w:after="0"/>
        <w:jc w:val="left"/>
        <w:rPr>
          <w:caps w:val="false"/>
          <w:smallCaps w:val="false"/>
        </w:rPr>
      </w:pPr>
      <w:r>
        <w:rPr>
          <w:caps w:val="false"/>
          <w:smallCaps w:val="false"/>
        </w:rPr>
        <w:t> </w:t>
      </w:r>
    </w:p>
    <w:tbl>
      <w:tblPr>
        <w:tblW w:w="7590" w:type="dxa"/>
        <w:jc w:val="center"/>
        <w:tblInd w:w="0" w:type="dxa"/>
        <w:tblLayout w:type="fixed"/>
        <w:tblCellMar>
          <w:top w:w="0" w:type="dxa"/>
          <w:left w:w="0" w:type="dxa"/>
          <w:bottom w:w="0" w:type="dxa"/>
          <w:right w:w="0" w:type="dxa"/>
        </w:tblCellMar>
      </w:tblPr>
      <w:tblGrid>
        <w:gridCol w:w="4745"/>
        <w:gridCol w:w="1190"/>
        <w:gridCol w:w="1655"/>
      </w:tblGrid>
      <w:tr>
        <w:trPr/>
        <w:tc>
          <w:tcPr>
            <w:tcW w:w="474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r>
      <w:tr>
        <w:trPr/>
        <w:tc>
          <w:tcPr>
            <w:tcW w:w="4745" w:type="dxa"/>
            <w:tcBorders/>
            <w:shd w:fill="D5EAEA" w:val="clear"/>
            <w:vAlign w:val="center"/>
          </w:tcPr>
          <w:p>
            <w:pPr>
              <w:pStyle w:val="TableContents"/>
              <w:bidi w:val="0"/>
              <w:spacing w:before="0" w:after="283"/>
              <w:jc w:val="left"/>
              <w:rPr>
                <w:sz w:val="20"/>
              </w:rPr>
            </w:pPr>
            <w:r>
              <w:rPr>
                <w:sz w:val="20"/>
              </w:rPr>
              <w:t>Personnel and related taxes</w:t>
            </w:r>
          </w:p>
        </w:tc>
        <w:tc>
          <w:tcPr>
            <w:tcW w:w="1190" w:type="dxa"/>
            <w:tcBorders/>
            <w:shd w:fill="D5EAEA" w:val="clear"/>
            <w:vAlign w:val="center"/>
          </w:tcPr>
          <w:p>
            <w:pPr>
              <w:pStyle w:val="TableContents"/>
              <w:bidi w:val="0"/>
              <w:spacing w:before="0" w:after="283"/>
              <w:jc w:val="right"/>
              <w:rPr>
                <w:sz w:val="20"/>
              </w:rPr>
            </w:pPr>
            <w:r>
              <w:rPr>
                <w:sz w:val="20"/>
              </w:rPr>
              <w:t>9,259</w:t>
            </w:r>
          </w:p>
        </w:tc>
        <w:tc>
          <w:tcPr>
            <w:tcW w:w="1655" w:type="dxa"/>
            <w:tcBorders/>
            <w:shd w:fill="D5EAEA" w:val="clear"/>
            <w:vAlign w:val="center"/>
          </w:tcPr>
          <w:p>
            <w:pPr>
              <w:pStyle w:val="TableContents"/>
              <w:bidi w:val="0"/>
              <w:spacing w:before="0" w:after="283"/>
              <w:jc w:val="right"/>
              <w:rPr>
                <w:sz w:val="20"/>
              </w:rPr>
            </w:pPr>
            <w:r>
              <w:rPr>
                <w:sz w:val="20"/>
              </w:rPr>
              <w:t>7,667</w:t>
            </w:r>
          </w:p>
        </w:tc>
      </w:tr>
      <w:tr>
        <w:trPr/>
        <w:tc>
          <w:tcPr>
            <w:tcW w:w="4745" w:type="dxa"/>
            <w:tcBorders/>
            <w:shd w:fill="FFFFFF" w:val="clear"/>
            <w:vAlign w:val="center"/>
          </w:tcPr>
          <w:p>
            <w:pPr>
              <w:pStyle w:val="TableContents"/>
              <w:bidi w:val="0"/>
              <w:spacing w:before="0" w:after="283"/>
              <w:jc w:val="left"/>
              <w:rPr>
                <w:sz w:val="20"/>
              </w:rPr>
            </w:pPr>
            <w:r>
              <w:rPr>
                <w:sz w:val="20"/>
              </w:rPr>
              <w:t>Accrued vacation and related charges</w:t>
            </w:r>
          </w:p>
        </w:tc>
        <w:tc>
          <w:tcPr>
            <w:tcW w:w="1190" w:type="dxa"/>
            <w:tcBorders/>
            <w:shd w:fill="FFFFFF" w:val="clear"/>
            <w:vAlign w:val="center"/>
          </w:tcPr>
          <w:p>
            <w:pPr>
              <w:pStyle w:val="TableContents"/>
              <w:bidi w:val="0"/>
              <w:spacing w:before="0" w:after="283"/>
              <w:jc w:val="right"/>
              <w:rPr>
                <w:sz w:val="20"/>
              </w:rPr>
            </w:pPr>
            <w:r>
              <w:rPr>
                <w:sz w:val="20"/>
              </w:rPr>
              <w:t>6,067</w:t>
            </w:r>
          </w:p>
        </w:tc>
        <w:tc>
          <w:tcPr>
            <w:tcW w:w="1655" w:type="dxa"/>
            <w:tcBorders/>
            <w:shd w:fill="FFFFFF" w:val="clear"/>
            <w:vAlign w:val="center"/>
          </w:tcPr>
          <w:p>
            <w:pPr>
              <w:pStyle w:val="TableContents"/>
              <w:bidi w:val="0"/>
              <w:spacing w:before="0" w:after="283"/>
              <w:jc w:val="right"/>
              <w:rPr>
                <w:sz w:val="20"/>
              </w:rPr>
            </w:pPr>
            <w:r>
              <w:rPr>
                <w:sz w:val="20"/>
              </w:rPr>
              <w:t>4,546</w:t>
            </w:r>
          </w:p>
        </w:tc>
      </w:tr>
      <w:tr>
        <w:trPr/>
        <w:tc>
          <w:tcPr>
            <w:tcW w:w="4745" w:type="dxa"/>
            <w:tcBorders/>
            <w:shd w:fill="D5EAEA" w:val="clear"/>
            <w:vAlign w:val="center"/>
          </w:tcPr>
          <w:p>
            <w:pPr>
              <w:pStyle w:val="TableContents"/>
              <w:bidi w:val="0"/>
              <w:spacing w:before="0" w:after="283"/>
              <w:jc w:val="left"/>
              <w:rPr>
                <w:sz w:val="20"/>
              </w:rPr>
            </w:pPr>
            <w:r>
              <w:rPr>
                <w:sz w:val="20"/>
              </w:rPr>
              <w:t>Employee profit sharing (a)</w:t>
            </w:r>
          </w:p>
        </w:tc>
        <w:tc>
          <w:tcPr>
            <w:tcW w:w="1190" w:type="dxa"/>
            <w:tcBorders/>
            <w:shd w:fill="D5EAEA" w:val="clear"/>
            <w:vAlign w:val="center"/>
          </w:tcPr>
          <w:p>
            <w:pPr>
              <w:pStyle w:val="TableContents"/>
              <w:bidi w:val="0"/>
              <w:spacing w:before="0" w:after="283"/>
              <w:jc w:val="right"/>
              <w:rPr>
                <w:sz w:val="20"/>
              </w:rPr>
            </w:pPr>
            <w:r>
              <w:rPr>
                <w:sz w:val="20"/>
              </w:rPr>
              <w:t>35,376</w:t>
            </w:r>
          </w:p>
        </w:tc>
        <w:tc>
          <w:tcPr>
            <w:tcW w:w="1655" w:type="dxa"/>
            <w:tcBorders/>
            <w:shd w:fill="D5EAEA" w:val="clear"/>
            <w:vAlign w:val="center"/>
          </w:tcPr>
          <w:p>
            <w:pPr>
              <w:pStyle w:val="TableContents"/>
              <w:bidi w:val="0"/>
              <w:spacing w:before="0" w:after="283"/>
              <w:jc w:val="right"/>
              <w:rPr>
                <w:sz w:val="20"/>
              </w:rPr>
            </w:pPr>
            <w:r>
              <w:rPr>
                <w:sz w:val="20"/>
              </w:rPr>
              <w:t>45,934</w:t>
            </w:r>
          </w:p>
        </w:tc>
      </w:tr>
      <w:tr>
        <w:trPr/>
        <w:tc>
          <w:tcPr>
            <w:tcW w:w="4745" w:type="dxa"/>
            <w:tcBorders/>
            <w:shd w:fill="FFFFFF" w:val="clear"/>
            <w:vAlign w:val="center"/>
          </w:tcPr>
          <w:p>
            <w:pPr>
              <w:pStyle w:val="TableContents"/>
              <w:bidi w:val="0"/>
              <w:spacing w:before="0" w:after="283"/>
              <w:jc w:val="left"/>
              <w:rPr>
                <w:b/>
                <w:sz w:val="20"/>
              </w:rPr>
            </w:pPr>
            <w:r>
              <w:rPr>
                <w:b/>
                <w:sz w:val="20"/>
              </w:rPr>
              <w:t xml:space="preserve">Personnel and related taxes payable - current liabilities </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50,702</w:t>
            </w:r>
          </w:p>
        </w:tc>
        <w:tc>
          <w:tcPr>
            <w:tcW w:w="165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58,147</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The Company recognizes a provision for payment of profit sharing to employees, according to conditions approved by management, which is recorded as personnel expenses in the condensed consolidated statement of income.</w:t>
            </w:r>
          </w:p>
        </w:tc>
      </w:tr>
    </w:tbl>
    <w:p>
      <w:pPr>
        <w:pStyle w:val="TextBody"/>
        <w:bidi w:val="0"/>
        <w:spacing w:before="0" w:after="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335"/>
        <w:gridCol w:w="620"/>
      </w:tblGrid>
      <w:tr>
        <w:trPr/>
        <w:tc>
          <w:tcPr>
            <w:tcW w:w="335" w:type="dxa"/>
            <w:tcBorders/>
            <w:vAlign w:val="center"/>
          </w:tcPr>
          <w:p>
            <w:pPr>
              <w:pStyle w:val="TableContents"/>
              <w:bidi w:val="0"/>
              <w:spacing w:before="0" w:after="283"/>
              <w:jc w:val="left"/>
              <w:rPr/>
            </w:pPr>
            <w:r>
              <w:rPr/>
              <w:t>16.</w:t>
            </w:r>
          </w:p>
        </w:tc>
        <w:tc>
          <w:tcPr>
            <w:tcW w:w="620" w:type="dxa"/>
            <w:tcBorders/>
            <w:vAlign w:val="center"/>
          </w:tcPr>
          <w:p>
            <w:pPr>
              <w:pStyle w:val="TableContents"/>
              <w:bidi w:val="0"/>
              <w:spacing w:before="0" w:after="283"/>
              <w:jc w:val="left"/>
              <w:rPr/>
            </w:pPr>
            <w:r>
              <w:rPr/>
              <w:t>Loans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several credit agreements with leading financial institutions through Patria Finance Ltd. ("PFL") as the counterparty and the Company as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2023, PFL entered an unsecured credit facility with Banco Santander S.A. The revolving credit facility is due in April 2028 with an annual interest rate of Secured Overnight Financing Rate (“SOFR”) plus 2.5%. Total drawdowns of US$273.3 million were made on the renewed credit facility with total repayments of US$247.8 million. During the period April 1, 2026 to June 30, 2026, the Company repaid US$25.5 million leaving the credit facility fully settled on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2023, PFL entered two standby letters of credit (SBLCs) with Mizuho Bank, Ltd. and Citibank, N.A., each for GBP 11.0 million (a total of GBP 22.0 million). The SBLCs charge an annual interest rate of 2.5% and have a maturity date of June 30, 2026. The Company has not drawn down on either SBLC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PFL entered two term loans with Mizuho Bank, Ltd. and Citibank, N.A., each for US$38.0 million (a total of US$76.0 million). Both term loans carry interest of SOFR plus 2.5% on an annual basis and each has a maturity date of January 31, 2027. During the period January 1, 2024, to December 31, 2024, the Company drew down US$76.0 million. This balance of $76 million was fully settled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2023, Moneda Asset Management (MAM) entered a working capital facility with Banco de Chile for CLP 5.0 billion (US$5.2 million). The credit facility carries interest of Tasa Bancária Nominal + 3.60%, per annum and was renewed on November 5, 2025, for a term of 11 months. No drawdowns were made under the facility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2024, the Company entered a revolving credit facility with Mizuho Bank for the value of US$50.0 million. The facility carries interest of SOFR + 2.25% per annum with December 3, 2025, as maturity date. The maturity date of the revolving credit facility was extended to December 3, 2026. Total drawdowns of US$106.4 million (US$106.4 million for 2025) were made on the credit facility with total repayments of US$56.4 million (US$56.4 million for 2025). The balance of US$50.0 million was fully settled in May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the Company entered a revolving credit facility with Citibank, N.A for the value of US$100.0 million. The facility carries interest of SOFR + 1.50% per annum with February 25, 2027, as maturity date. During the period from February 27, 2026, to March 31, 2026, the Company drew down US$100.0 million. The Company repaid US$100.0 million in May 2026, leaving the credit facility fully settled on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the Company priced a private placement of senior notes in an aggregate principal amount of US$350.0 million. The notes comprise three fixed-rate tranches with maturities ranging from 5 to 10 years and coupon rates as follows:</w:t>
      </w:r>
    </w:p>
    <w:p>
      <w:pPr>
        <w:pStyle w:val="TextBody"/>
        <w:bidi w:val="0"/>
        <w:spacing w:before="0" w:after="0"/>
        <w:ind w:left="0" w:right="0" w:hanging="0"/>
        <w:jc w:val="both"/>
        <w:rPr>
          <w:caps w:val="false"/>
          <w:smallCaps w:val="false"/>
        </w:rPr>
      </w:pPr>
      <w:r>
        <w:rPr>
          <w:caps w:val="false"/>
          <w:smallCaps w:val="false"/>
        </w:rPr>
        <w:t> </w:t>
      </w:r>
    </w:p>
    <w:tbl>
      <w:tblPr>
        <w:tblW w:w="4840" w:type="dxa"/>
        <w:jc w:val="center"/>
        <w:tblInd w:w="0" w:type="dxa"/>
        <w:tblLayout w:type="fixed"/>
        <w:tblCellMar>
          <w:top w:w="0" w:type="dxa"/>
          <w:left w:w="0" w:type="dxa"/>
          <w:bottom w:w="28" w:type="dxa"/>
          <w:right w:w="0" w:type="dxa"/>
        </w:tblCellMar>
      </w:tblPr>
      <w:tblGrid>
        <w:gridCol w:w="140"/>
        <w:gridCol w:w="1145"/>
        <w:gridCol w:w="1535"/>
        <w:gridCol w:w="725"/>
        <w:gridCol w:w="1295"/>
      </w:tblGrid>
      <w:tr>
        <w:trPr/>
        <w:tc>
          <w:tcPr>
            <w:tcW w:w="140" w:type="dxa"/>
            <w:tcBorders>
              <w:bottom w:val="single" w:sz="8" w:space="0" w:color="000000"/>
            </w:tcBorders>
            <w:vAlign w:val="center"/>
          </w:tcPr>
          <w:p>
            <w:pPr>
              <w:pStyle w:val="TableContents"/>
              <w:bidi w:val="0"/>
              <w:spacing w:before="0" w:after="283"/>
              <w:jc w:val="center"/>
              <w:rPr>
                <w:b/>
                <w:sz w:val="20"/>
              </w:rPr>
            </w:pPr>
            <w:r>
              <w:rPr>
                <w:b/>
                <w:sz w:val="20"/>
              </w:rPr>
              <w:t>#</w:t>
            </w:r>
          </w:p>
        </w:tc>
        <w:tc>
          <w:tcPr>
            <w:tcW w:w="1145" w:type="dxa"/>
            <w:tcBorders>
              <w:bottom w:val="single" w:sz="8" w:space="0" w:color="000000"/>
            </w:tcBorders>
            <w:vAlign w:val="center"/>
          </w:tcPr>
          <w:p>
            <w:pPr>
              <w:pStyle w:val="TableContents"/>
              <w:bidi w:val="0"/>
              <w:spacing w:before="0" w:after="283"/>
              <w:jc w:val="both"/>
              <w:rPr>
                <w:b/>
                <w:sz w:val="20"/>
              </w:rPr>
            </w:pPr>
            <w:r>
              <w:rPr>
                <w:b/>
                <w:sz w:val="20"/>
              </w:rPr>
              <w:t>Tranche</w:t>
            </w:r>
          </w:p>
        </w:tc>
        <w:tc>
          <w:tcPr>
            <w:tcW w:w="1535" w:type="dxa"/>
            <w:tcBorders>
              <w:bottom w:val="single" w:sz="8" w:space="0" w:color="000000"/>
            </w:tcBorders>
            <w:vAlign w:val="center"/>
          </w:tcPr>
          <w:p>
            <w:pPr>
              <w:pStyle w:val="TableContents"/>
              <w:bidi w:val="0"/>
              <w:spacing w:before="0" w:after="283"/>
              <w:jc w:val="both"/>
              <w:rPr>
                <w:b/>
                <w:sz w:val="20"/>
              </w:rPr>
            </w:pPr>
            <w:r>
              <w:rPr>
                <w:b/>
                <w:sz w:val="20"/>
              </w:rPr>
              <w:t>Principal Amount</w:t>
            </w:r>
          </w:p>
        </w:tc>
        <w:tc>
          <w:tcPr>
            <w:tcW w:w="725" w:type="dxa"/>
            <w:tcBorders>
              <w:bottom w:val="single" w:sz="8" w:space="0" w:color="000000"/>
            </w:tcBorders>
            <w:vAlign w:val="center"/>
          </w:tcPr>
          <w:p>
            <w:pPr>
              <w:pStyle w:val="TableContents"/>
              <w:bidi w:val="0"/>
              <w:spacing w:before="0" w:after="283"/>
              <w:jc w:val="both"/>
              <w:rPr>
                <w:b/>
                <w:sz w:val="20"/>
              </w:rPr>
            </w:pPr>
            <w:r>
              <w:rPr>
                <w:b/>
                <w:sz w:val="20"/>
              </w:rPr>
              <w:t xml:space="preserve">Coupon </w:t>
            </w:r>
          </w:p>
        </w:tc>
        <w:tc>
          <w:tcPr>
            <w:tcW w:w="1295" w:type="dxa"/>
            <w:tcBorders>
              <w:bottom w:val="single" w:sz="8" w:space="0" w:color="000000"/>
            </w:tcBorders>
            <w:vAlign w:val="center"/>
          </w:tcPr>
          <w:p>
            <w:pPr>
              <w:pStyle w:val="TableContents"/>
              <w:bidi w:val="0"/>
              <w:spacing w:before="0" w:after="283"/>
              <w:jc w:val="both"/>
              <w:rPr>
                <w:b/>
                <w:sz w:val="20"/>
              </w:rPr>
            </w:pPr>
            <w:r>
              <w:rPr>
                <w:b/>
                <w:sz w:val="20"/>
              </w:rPr>
              <w:t>Final Maturity</w:t>
            </w:r>
          </w:p>
        </w:tc>
      </w:tr>
      <w:tr>
        <w:trPr/>
        <w:tc>
          <w:tcPr>
            <w:tcW w:w="140" w:type="dxa"/>
            <w:tcBorders/>
            <w:shd w:fill="D5EAEA" w:val="clear"/>
            <w:tcMar>
              <w:bottom w:w="0" w:type="dxa"/>
            </w:tcMar>
            <w:vAlign w:val="center"/>
          </w:tcPr>
          <w:p>
            <w:pPr>
              <w:pStyle w:val="TableContents"/>
              <w:bidi w:val="0"/>
              <w:spacing w:before="0" w:after="283"/>
              <w:jc w:val="center"/>
              <w:rPr>
                <w:sz w:val="20"/>
              </w:rPr>
            </w:pPr>
            <w:r>
              <w:rPr>
                <w:sz w:val="20"/>
              </w:rPr>
              <w:t>1</w:t>
            </w:r>
          </w:p>
        </w:tc>
        <w:tc>
          <w:tcPr>
            <w:tcW w:w="1145" w:type="dxa"/>
            <w:tcBorders/>
            <w:shd w:fill="D5EAEA" w:val="clear"/>
            <w:tcMar>
              <w:bottom w:w="0" w:type="dxa"/>
            </w:tcMar>
            <w:vAlign w:val="center"/>
          </w:tcPr>
          <w:p>
            <w:pPr>
              <w:pStyle w:val="TableContents"/>
              <w:bidi w:val="0"/>
              <w:spacing w:before="0" w:after="283"/>
              <w:jc w:val="both"/>
              <w:rPr>
                <w:sz w:val="20"/>
              </w:rPr>
            </w:pPr>
            <w:r>
              <w:rPr>
                <w:sz w:val="20"/>
              </w:rPr>
              <w:t>5-year Notes</w:t>
            </w:r>
          </w:p>
        </w:tc>
        <w:tc>
          <w:tcPr>
            <w:tcW w:w="1535" w:type="dxa"/>
            <w:tcBorders/>
            <w:shd w:fill="D5EAEA" w:val="clear"/>
            <w:tcMar>
              <w:bottom w:w="0" w:type="dxa"/>
            </w:tcMar>
            <w:vAlign w:val="center"/>
          </w:tcPr>
          <w:p>
            <w:pPr>
              <w:pStyle w:val="TableContents"/>
              <w:bidi w:val="0"/>
              <w:spacing w:before="0" w:after="283"/>
              <w:jc w:val="both"/>
              <w:rPr>
                <w:sz w:val="20"/>
              </w:rPr>
            </w:pPr>
            <w:r>
              <w:rPr>
                <w:sz w:val="20"/>
              </w:rPr>
              <w:t>US$50.0 million</w:t>
            </w:r>
          </w:p>
        </w:tc>
        <w:tc>
          <w:tcPr>
            <w:tcW w:w="725" w:type="dxa"/>
            <w:tcBorders/>
            <w:shd w:fill="D5EAEA" w:val="clear"/>
            <w:tcMar>
              <w:bottom w:w="0" w:type="dxa"/>
            </w:tcMar>
            <w:vAlign w:val="center"/>
          </w:tcPr>
          <w:p>
            <w:pPr>
              <w:pStyle w:val="TableContents"/>
              <w:bidi w:val="0"/>
              <w:spacing w:before="0" w:after="283"/>
              <w:jc w:val="both"/>
              <w:rPr>
                <w:sz w:val="20"/>
              </w:rPr>
            </w:pPr>
            <w:r>
              <w:rPr>
                <w:sz w:val="20"/>
              </w:rPr>
              <w:t>6.02%</w:t>
            </w:r>
          </w:p>
        </w:tc>
        <w:tc>
          <w:tcPr>
            <w:tcW w:w="1295" w:type="dxa"/>
            <w:tcBorders/>
            <w:shd w:fill="D5EAEA" w:val="clear"/>
            <w:tcMar>
              <w:bottom w:w="0" w:type="dxa"/>
            </w:tcMar>
            <w:vAlign w:val="center"/>
          </w:tcPr>
          <w:p>
            <w:pPr>
              <w:pStyle w:val="TableContents"/>
              <w:bidi w:val="0"/>
              <w:spacing w:before="0" w:after="283"/>
              <w:jc w:val="both"/>
              <w:rPr>
                <w:sz w:val="20"/>
              </w:rPr>
            </w:pPr>
            <w:r>
              <w:rPr>
                <w:sz w:val="20"/>
              </w:rPr>
              <w:t>May 6, 2031</w:t>
            </w:r>
          </w:p>
        </w:tc>
      </w:tr>
      <w:tr>
        <w:trPr/>
        <w:tc>
          <w:tcPr>
            <w:tcW w:w="140" w:type="dxa"/>
            <w:tcBorders/>
            <w:shd w:fill="FFFFFF" w:val="clear"/>
            <w:tcMar>
              <w:bottom w:w="0" w:type="dxa"/>
            </w:tcMar>
            <w:vAlign w:val="center"/>
          </w:tcPr>
          <w:p>
            <w:pPr>
              <w:pStyle w:val="TableContents"/>
              <w:bidi w:val="0"/>
              <w:spacing w:before="0" w:after="283"/>
              <w:jc w:val="center"/>
              <w:rPr>
                <w:sz w:val="20"/>
              </w:rPr>
            </w:pPr>
            <w:r>
              <w:rPr>
                <w:sz w:val="20"/>
              </w:rPr>
              <w:t>2</w:t>
            </w:r>
          </w:p>
        </w:tc>
        <w:tc>
          <w:tcPr>
            <w:tcW w:w="1145" w:type="dxa"/>
            <w:tcBorders/>
            <w:shd w:fill="FFFFFF" w:val="clear"/>
            <w:tcMar>
              <w:bottom w:w="0" w:type="dxa"/>
            </w:tcMar>
            <w:vAlign w:val="center"/>
          </w:tcPr>
          <w:p>
            <w:pPr>
              <w:pStyle w:val="TableContents"/>
              <w:bidi w:val="0"/>
              <w:spacing w:before="0" w:after="283"/>
              <w:jc w:val="both"/>
              <w:rPr>
                <w:sz w:val="20"/>
              </w:rPr>
            </w:pPr>
            <w:r>
              <w:rPr>
                <w:sz w:val="20"/>
              </w:rPr>
              <w:t>7-year Notes</w:t>
            </w:r>
          </w:p>
        </w:tc>
        <w:tc>
          <w:tcPr>
            <w:tcW w:w="1535" w:type="dxa"/>
            <w:tcBorders/>
            <w:shd w:fill="FFFFFF" w:val="clear"/>
            <w:tcMar>
              <w:bottom w:w="0" w:type="dxa"/>
            </w:tcMar>
            <w:vAlign w:val="center"/>
          </w:tcPr>
          <w:p>
            <w:pPr>
              <w:pStyle w:val="TableContents"/>
              <w:bidi w:val="0"/>
              <w:spacing w:before="0" w:after="283"/>
              <w:jc w:val="both"/>
              <w:rPr>
                <w:sz w:val="20"/>
              </w:rPr>
            </w:pPr>
            <w:r>
              <w:rPr>
                <w:sz w:val="20"/>
              </w:rPr>
              <w:t>US$100.0 million</w:t>
            </w:r>
          </w:p>
        </w:tc>
        <w:tc>
          <w:tcPr>
            <w:tcW w:w="725" w:type="dxa"/>
            <w:tcBorders/>
            <w:shd w:fill="FFFFFF" w:val="clear"/>
            <w:tcMar>
              <w:bottom w:w="0" w:type="dxa"/>
            </w:tcMar>
            <w:vAlign w:val="center"/>
          </w:tcPr>
          <w:p>
            <w:pPr>
              <w:pStyle w:val="TableContents"/>
              <w:bidi w:val="0"/>
              <w:spacing w:before="0" w:after="283"/>
              <w:jc w:val="both"/>
              <w:rPr>
                <w:sz w:val="20"/>
              </w:rPr>
            </w:pPr>
            <w:r>
              <w:rPr>
                <w:sz w:val="20"/>
              </w:rPr>
              <w:t>6.30%</w:t>
            </w:r>
          </w:p>
        </w:tc>
        <w:tc>
          <w:tcPr>
            <w:tcW w:w="1295" w:type="dxa"/>
            <w:tcBorders/>
            <w:shd w:fill="FFFFFF" w:val="clear"/>
            <w:tcMar>
              <w:bottom w:w="0" w:type="dxa"/>
            </w:tcMar>
            <w:vAlign w:val="center"/>
          </w:tcPr>
          <w:p>
            <w:pPr>
              <w:pStyle w:val="TableContents"/>
              <w:bidi w:val="0"/>
              <w:spacing w:before="0" w:after="283"/>
              <w:jc w:val="both"/>
              <w:rPr>
                <w:sz w:val="20"/>
              </w:rPr>
            </w:pPr>
            <w:r>
              <w:rPr>
                <w:sz w:val="20"/>
              </w:rPr>
              <w:t>May 6, 2033</w:t>
            </w:r>
          </w:p>
        </w:tc>
      </w:tr>
      <w:tr>
        <w:trPr/>
        <w:tc>
          <w:tcPr>
            <w:tcW w:w="140" w:type="dxa"/>
            <w:tcBorders/>
            <w:shd w:fill="D5EAEA" w:val="clear"/>
            <w:tcMar>
              <w:bottom w:w="0" w:type="dxa"/>
            </w:tcMar>
            <w:vAlign w:val="center"/>
          </w:tcPr>
          <w:p>
            <w:pPr>
              <w:pStyle w:val="TableContents"/>
              <w:bidi w:val="0"/>
              <w:spacing w:before="0" w:after="283"/>
              <w:jc w:val="center"/>
              <w:rPr>
                <w:sz w:val="20"/>
              </w:rPr>
            </w:pPr>
            <w:r>
              <w:rPr>
                <w:sz w:val="20"/>
              </w:rPr>
              <w:t>3</w:t>
            </w:r>
          </w:p>
        </w:tc>
        <w:tc>
          <w:tcPr>
            <w:tcW w:w="1145" w:type="dxa"/>
            <w:tcBorders/>
            <w:shd w:fill="D5EAEA" w:val="clear"/>
            <w:tcMar>
              <w:bottom w:w="0" w:type="dxa"/>
            </w:tcMar>
            <w:vAlign w:val="center"/>
          </w:tcPr>
          <w:p>
            <w:pPr>
              <w:pStyle w:val="TableContents"/>
              <w:bidi w:val="0"/>
              <w:spacing w:before="0" w:after="283"/>
              <w:jc w:val="both"/>
              <w:rPr>
                <w:sz w:val="20"/>
              </w:rPr>
            </w:pPr>
            <w:r>
              <w:rPr>
                <w:sz w:val="20"/>
              </w:rPr>
              <w:t>10-year Notes</w:t>
            </w:r>
          </w:p>
        </w:tc>
        <w:tc>
          <w:tcPr>
            <w:tcW w:w="1535" w:type="dxa"/>
            <w:tcBorders/>
            <w:shd w:fill="D5EAEA" w:val="clear"/>
            <w:tcMar>
              <w:bottom w:w="0" w:type="dxa"/>
            </w:tcMar>
            <w:vAlign w:val="center"/>
          </w:tcPr>
          <w:p>
            <w:pPr>
              <w:pStyle w:val="TableContents"/>
              <w:bidi w:val="0"/>
              <w:spacing w:before="0" w:after="283"/>
              <w:jc w:val="both"/>
              <w:rPr>
                <w:sz w:val="20"/>
              </w:rPr>
            </w:pPr>
            <w:r>
              <w:rPr>
                <w:sz w:val="20"/>
              </w:rPr>
              <w:t>US$200.0 million</w:t>
            </w:r>
          </w:p>
        </w:tc>
        <w:tc>
          <w:tcPr>
            <w:tcW w:w="725" w:type="dxa"/>
            <w:tcBorders/>
            <w:shd w:fill="D5EAEA" w:val="clear"/>
            <w:tcMar>
              <w:bottom w:w="0" w:type="dxa"/>
            </w:tcMar>
            <w:vAlign w:val="center"/>
          </w:tcPr>
          <w:p>
            <w:pPr>
              <w:pStyle w:val="TableContents"/>
              <w:bidi w:val="0"/>
              <w:spacing w:before="0" w:after="283"/>
              <w:jc w:val="both"/>
              <w:rPr>
                <w:sz w:val="20"/>
              </w:rPr>
            </w:pPr>
            <w:r>
              <w:rPr>
                <w:sz w:val="20"/>
              </w:rPr>
              <w:t>6.60%</w:t>
            </w:r>
          </w:p>
        </w:tc>
        <w:tc>
          <w:tcPr>
            <w:tcW w:w="1295" w:type="dxa"/>
            <w:tcBorders/>
            <w:shd w:fill="D5EAEA" w:val="clear"/>
            <w:tcMar>
              <w:bottom w:w="0" w:type="dxa"/>
            </w:tcMar>
            <w:vAlign w:val="center"/>
          </w:tcPr>
          <w:p>
            <w:pPr>
              <w:pStyle w:val="TableContents"/>
              <w:bidi w:val="0"/>
              <w:spacing w:before="0" w:after="283"/>
              <w:jc w:val="both"/>
              <w:rPr>
                <w:sz w:val="20"/>
              </w:rPr>
            </w:pPr>
            <w:r>
              <w:rPr>
                <w:sz w:val="20"/>
              </w:rPr>
              <w:t>May 6, 2036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at par to a group of institutional investors pursuant to a private placement exempt from registration under the U.S. Securities Act of 1933, as amended, documented under a Note Purchase Agreement. Interest is payable semi-annually in arrears on May 6 and November 6 of each year, beginning on November 6, 2026. During the period April 1, 2026 to June 30, 2026, Patria Finance Limited, wholly owned subsidiary of the Company, drew down US$350.0 million, which remains payable on June 30, 2026.</w:t>
      </w:r>
    </w:p>
    <w:p>
      <w:pPr>
        <w:pStyle w:val="TextBody"/>
        <w:bidi w:val="0"/>
        <w:spacing w:before="0" w:after="0"/>
        <w:ind w:left="0" w:right="0" w:hanging="0"/>
        <w:jc w:val="both"/>
        <w:rPr>
          <w:caps w:val="false"/>
          <w:smallCaps w:val="false"/>
        </w:rPr>
      </w:pPr>
      <w:r>
        <w:rPr>
          <w:caps w:val="false"/>
          <w:smallCaps w:val="false"/>
        </w:rPr>
        <w:t> </w:t>
      </w:r>
    </w:p>
    <w:tbl>
      <w:tblPr>
        <w:tblW w:w="7320" w:type="dxa"/>
        <w:jc w:val="center"/>
        <w:tblInd w:w="0" w:type="dxa"/>
        <w:tblLayout w:type="fixed"/>
        <w:tblCellMar>
          <w:top w:w="0" w:type="dxa"/>
          <w:left w:w="0" w:type="dxa"/>
          <w:bottom w:w="0" w:type="dxa"/>
          <w:right w:w="0" w:type="dxa"/>
        </w:tblCellMar>
      </w:tblPr>
      <w:tblGrid>
        <w:gridCol w:w="4520"/>
        <w:gridCol w:w="1190"/>
        <w:gridCol w:w="1610"/>
      </w:tblGrid>
      <w:tr>
        <w:trPr/>
        <w:tc>
          <w:tcPr>
            <w:tcW w:w="4520" w:type="dxa"/>
            <w:tcBorders/>
            <w:vAlign w:val="center"/>
          </w:tcPr>
          <w:p>
            <w:pPr>
              <w:pStyle w:val="TableContents"/>
              <w:bidi w:val="0"/>
              <w:spacing w:before="0" w:after="283"/>
              <w:jc w:val="left"/>
              <w:rPr>
                <w:b/>
                <w:sz w:val="20"/>
              </w:rPr>
            </w:pPr>
            <w:r>
              <w:rPr>
                <w:b/>
                <w:sz w:val="20"/>
              </w:rPr>
              <w:t>Balance as of</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31,2025</w:t>
            </w:r>
          </w:p>
        </w:tc>
      </w:tr>
      <w:tr>
        <w:trPr/>
        <w:tc>
          <w:tcPr>
            <w:tcW w:w="4520" w:type="dxa"/>
            <w:tcBorders/>
            <w:shd w:fill="D5EAEA" w:val="clear"/>
            <w:vAlign w:val="center"/>
          </w:tcPr>
          <w:p>
            <w:pPr>
              <w:pStyle w:val="TableContents"/>
              <w:bidi w:val="0"/>
              <w:spacing w:before="0" w:after="283"/>
              <w:jc w:val="left"/>
              <w:rPr>
                <w:b/>
                <w:sz w:val="20"/>
              </w:rPr>
            </w:pPr>
            <w:r>
              <w:rPr>
                <w:b/>
                <w:sz w:val="20"/>
              </w:rPr>
              <w:t>Opening balance at beginning of the reporting period</w:t>
            </w:r>
          </w:p>
        </w:tc>
        <w:tc>
          <w:tcPr>
            <w:tcW w:w="1190" w:type="dxa"/>
            <w:tcBorders/>
            <w:shd w:fill="D5EAEA" w:val="clear"/>
            <w:vAlign w:val="center"/>
          </w:tcPr>
          <w:p>
            <w:pPr>
              <w:pStyle w:val="TableContents"/>
              <w:bidi w:val="0"/>
              <w:spacing w:before="0" w:after="283"/>
              <w:jc w:val="right"/>
              <w:rPr>
                <w:b/>
                <w:sz w:val="20"/>
              </w:rPr>
            </w:pPr>
            <w:r>
              <w:rPr>
                <w:b/>
                <w:sz w:val="20"/>
              </w:rPr>
              <w:t>174,868</w:t>
            </w:r>
          </w:p>
        </w:tc>
        <w:tc>
          <w:tcPr>
            <w:tcW w:w="1610" w:type="dxa"/>
            <w:tcBorders/>
            <w:shd w:fill="D5EAEA" w:val="clear"/>
            <w:vAlign w:val="center"/>
          </w:tcPr>
          <w:p>
            <w:pPr>
              <w:pStyle w:val="TableContents"/>
              <w:bidi w:val="0"/>
              <w:spacing w:before="0" w:after="283"/>
              <w:jc w:val="right"/>
              <w:rPr>
                <w:b/>
                <w:sz w:val="20"/>
              </w:rPr>
            </w:pPr>
            <w:r>
              <w:rPr>
                <w:b/>
                <w:sz w:val="20"/>
              </w:rPr>
              <w:t>227,971</w:t>
            </w:r>
          </w:p>
        </w:tc>
      </w:tr>
      <w:tr>
        <w:trPr/>
        <w:tc>
          <w:tcPr>
            <w:tcW w:w="4520" w:type="dxa"/>
            <w:tcBorders/>
            <w:shd w:fill="FFFFFF" w:val="clear"/>
            <w:vAlign w:val="center"/>
          </w:tcPr>
          <w:p>
            <w:pPr>
              <w:pStyle w:val="TableContents"/>
              <w:bidi w:val="0"/>
              <w:spacing w:before="0" w:after="283"/>
              <w:jc w:val="left"/>
              <w:rPr>
                <w:sz w:val="20"/>
              </w:rPr>
            </w:pPr>
            <w:r>
              <w:rPr>
                <w:sz w:val="20"/>
              </w:rPr>
              <w:t>Loans drawn</w:t>
            </w:r>
          </w:p>
        </w:tc>
        <w:tc>
          <w:tcPr>
            <w:tcW w:w="1190" w:type="dxa"/>
            <w:tcBorders/>
            <w:shd w:fill="FFFFFF" w:val="clear"/>
            <w:vAlign w:val="center"/>
          </w:tcPr>
          <w:p>
            <w:pPr>
              <w:pStyle w:val="TableContents"/>
              <w:bidi w:val="0"/>
              <w:spacing w:before="0" w:after="283"/>
              <w:jc w:val="right"/>
              <w:rPr>
                <w:sz w:val="20"/>
              </w:rPr>
            </w:pPr>
            <w:r>
              <w:rPr>
                <w:sz w:val="20"/>
              </w:rPr>
              <w:t>581,800</w:t>
            </w:r>
          </w:p>
        </w:tc>
        <w:tc>
          <w:tcPr>
            <w:tcW w:w="1610" w:type="dxa"/>
            <w:tcBorders/>
            <w:shd w:fill="FFFFFF" w:val="clear"/>
            <w:vAlign w:val="center"/>
          </w:tcPr>
          <w:p>
            <w:pPr>
              <w:pStyle w:val="TableContents"/>
              <w:bidi w:val="0"/>
              <w:spacing w:before="0" w:after="283"/>
              <w:jc w:val="right"/>
              <w:rPr>
                <w:sz w:val="20"/>
              </w:rPr>
            </w:pPr>
            <w:r>
              <w:rPr>
                <w:sz w:val="20"/>
              </w:rPr>
              <w:t>261,296</w:t>
            </w:r>
          </w:p>
        </w:tc>
      </w:tr>
      <w:tr>
        <w:trPr/>
        <w:tc>
          <w:tcPr>
            <w:tcW w:w="4520" w:type="dxa"/>
            <w:tcBorders/>
            <w:shd w:fill="D5EAEA" w:val="clear"/>
            <w:vAlign w:val="center"/>
          </w:tcPr>
          <w:p>
            <w:pPr>
              <w:pStyle w:val="TableContents"/>
              <w:bidi w:val="0"/>
              <w:spacing w:before="0" w:after="283"/>
              <w:jc w:val="left"/>
              <w:rPr>
                <w:sz w:val="20"/>
              </w:rPr>
            </w:pPr>
            <w:r>
              <w:rPr>
                <w:sz w:val="20"/>
              </w:rPr>
              <w:t>Loans paid</w:t>
            </w:r>
          </w:p>
        </w:tc>
        <w:tc>
          <w:tcPr>
            <w:tcW w:w="1190" w:type="dxa"/>
            <w:tcBorders/>
            <w:shd w:fill="D5EAEA" w:val="clear"/>
            <w:vAlign w:val="center"/>
          </w:tcPr>
          <w:p>
            <w:pPr>
              <w:pStyle w:val="TableContents"/>
              <w:bidi w:val="0"/>
              <w:spacing w:before="0" w:after="283"/>
              <w:jc w:val="right"/>
              <w:rPr>
                <w:sz w:val="20"/>
              </w:rPr>
            </w:pPr>
            <w:r>
              <w:rPr>
                <w:sz w:val="20"/>
              </w:rPr>
              <w:t>(407,598)</w:t>
            </w:r>
          </w:p>
        </w:tc>
        <w:tc>
          <w:tcPr>
            <w:tcW w:w="1610" w:type="dxa"/>
            <w:tcBorders/>
            <w:shd w:fill="D5EAEA" w:val="clear"/>
            <w:vAlign w:val="center"/>
          </w:tcPr>
          <w:p>
            <w:pPr>
              <w:pStyle w:val="TableContents"/>
              <w:bidi w:val="0"/>
              <w:spacing w:before="0" w:after="283"/>
              <w:jc w:val="right"/>
              <w:rPr>
                <w:sz w:val="20"/>
              </w:rPr>
            </w:pPr>
            <w:r>
              <w:rPr>
                <w:sz w:val="20"/>
              </w:rPr>
              <w:t>(312,766)</w:t>
            </w:r>
          </w:p>
        </w:tc>
      </w:tr>
      <w:tr>
        <w:trPr/>
        <w:tc>
          <w:tcPr>
            <w:tcW w:w="4520" w:type="dxa"/>
            <w:tcBorders/>
            <w:shd w:fill="FFFFFF" w:val="clear"/>
            <w:vAlign w:val="center"/>
          </w:tcPr>
          <w:p>
            <w:pPr>
              <w:pStyle w:val="TableContents"/>
              <w:bidi w:val="0"/>
              <w:spacing w:before="0" w:after="283"/>
              <w:jc w:val="left"/>
              <w:rPr>
                <w:sz w:val="20"/>
              </w:rPr>
            </w:pPr>
            <w:r>
              <w:rPr>
                <w:sz w:val="20"/>
              </w:rPr>
              <w:t>Loan fees incurred</w:t>
            </w:r>
          </w:p>
        </w:tc>
        <w:tc>
          <w:tcPr>
            <w:tcW w:w="1190" w:type="dxa"/>
            <w:tcBorders/>
            <w:shd w:fill="FFFFFF" w:val="clear"/>
            <w:vAlign w:val="center"/>
          </w:tcPr>
          <w:p>
            <w:pPr>
              <w:pStyle w:val="TableContents"/>
              <w:bidi w:val="0"/>
              <w:spacing w:before="0" w:after="283"/>
              <w:jc w:val="right"/>
              <w:rPr>
                <w:sz w:val="20"/>
              </w:rPr>
            </w:pPr>
            <w:r>
              <w:rPr>
                <w:sz w:val="20"/>
              </w:rPr>
              <w:t>(6,153)</w:t>
            </w:r>
          </w:p>
        </w:tc>
        <w:tc>
          <w:tcPr>
            <w:tcW w:w="1610" w:type="dxa"/>
            <w:tcBorders/>
            <w:shd w:fill="FFFFFF" w:val="clear"/>
            <w:vAlign w:val="center"/>
          </w:tcPr>
          <w:p>
            <w:pPr>
              <w:pStyle w:val="TableContents"/>
              <w:bidi w:val="0"/>
              <w:spacing w:before="0" w:after="283"/>
              <w:jc w:val="right"/>
              <w:rPr>
                <w:sz w:val="20"/>
              </w:rPr>
            </w:pPr>
            <w:r>
              <w:rPr>
                <w:sz w:val="20"/>
              </w:rPr>
              <w:t>(1,573)</w:t>
            </w:r>
          </w:p>
        </w:tc>
      </w:tr>
      <w:tr>
        <w:trPr/>
        <w:tc>
          <w:tcPr>
            <w:tcW w:w="4520" w:type="dxa"/>
            <w:tcBorders/>
            <w:shd w:fill="D5EAEA" w:val="clear"/>
            <w:vAlign w:val="center"/>
          </w:tcPr>
          <w:p>
            <w:pPr>
              <w:pStyle w:val="TableContents"/>
              <w:bidi w:val="0"/>
              <w:spacing w:before="0" w:after="283"/>
              <w:jc w:val="left"/>
              <w:rPr>
                <w:sz w:val="20"/>
              </w:rPr>
            </w:pPr>
            <w:r>
              <w:rPr>
                <w:sz w:val="20"/>
              </w:rPr>
              <w:t>Loan fees amortization</w:t>
            </w:r>
          </w:p>
        </w:tc>
        <w:tc>
          <w:tcPr>
            <w:tcW w:w="1190" w:type="dxa"/>
            <w:tcBorders/>
            <w:shd w:fill="D5EAEA" w:val="clear"/>
            <w:vAlign w:val="center"/>
          </w:tcPr>
          <w:p>
            <w:pPr>
              <w:pStyle w:val="TableContents"/>
              <w:bidi w:val="0"/>
              <w:spacing w:before="0" w:after="283"/>
              <w:jc w:val="right"/>
              <w:rPr>
                <w:sz w:val="20"/>
              </w:rPr>
            </w:pPr>
            <w:r>
              <w:rPr>
                <w:sz w:val="20"/>
              </w:rPr>
              <w:t>1,748</w:t>
            </w:r>
          </w:p>
        </w:tc>
        <w:tc>
          <w:tcPr>
            <w:tcW w:w="1610" w:type="dxa"/>
            <w:tcBorders/>
            <w:shd w:fill="D5EAEA" w:val="clear"/>
            <w:vAlign w:val="center"/>
          </w:tcPr>
          <w:p>
            <w:pPr>
              <w:pStyle w:val="TableContents"/>
              <w:bidi w:val="0"/>
              <w:spacing w:before="0" w:after="283"/>
              <w:jc w:val="right"/>
              <w:rPr>
                <w:sz w:val="20"/>
              </w:rPr>
            </w:pPr>
            <w:r>
              <w:rPr>
                <w:sz w:val="20"/>
              </w:rPr>
              <w:t>1,584</w:t>
            </w:r>
          </w:p>
        </w:tc>
      </w:tr>
      <w:tr>
        <w:trPr/>
        <w:tc>
          <w:tcPr>
            <w:tcW w:w="4520" w:type="dxa"/>
            <w:tcBorders/>
            <w:shd w:fill="FFFFFF" w:val="clear"/>
            <w:vAlign w:val="center"/>
          </w:tcPr>
          <w:p>
            <w:pPr>
              <w:pStyle w:val="TableContents"/>
              <w:bidi w:val="0"/>
              <w:spacing w:before="0" w:after="283"/>
              <w:jc w:val="left"/>
              <w:rPr>
                <w:sz w:val="20"/>
              </w:rPr>
            </w:pPr>
            <w:r>
              <w:rPr>
                <w:sz w:val="20"/>
              </w:rPr>
              <w:t>Interest expense accrued</w:t>
            </w:r>
          </w:p>
        </w:tc>
        <w:tc>
          <w:tcPr>
            <w:tcW w:w="1190" w:type="dxa"/>
            <w:tcBorders/>
            <w:shd w:fill="FFFFFF" w:val="clear"/>
            <w:vAlign w:val="center"/>
          </w:tcPr>
          <w:p>
            <w:pPr>
              <w:pStyle w:val="TableContents"/>
              <w:bidi w:val="0"/>
              <w:spacing w:before="0" w:after="283"/>
              <w:jc w:val="right"/>
              <w:rPr>
                <w:sz w:val="20"/>
              </w:rPr>
            </w:pPr>
            <w:r>
              <w:rPr>
                <w:sz w:val="20"/>
              </w:rPr>
              <w:t>8,488</w:t>
            </w:r>
          </w:p>
        </w:tc>
        <w:tc>
          <w:tcPr>
            <w:tcW w:w="1610" w:type="dxa"/>
            <w:tcBorders/>
            <w:shd w:fill="FFFFFF" w:val="clear"/>
            <w:vAlign w:val="center"/>
          </w:tcPr>
          <w:p>
            <w:pPr>
              <w:pStyle w:val="TableContents"/>
              <w:bidi w:val="0"/>
              <w:spacing w:before="0" w:after="283"/>
              <w:jc w:val="right"/>
              <w:rPr>
                <w:sz w:val="20"/>
              </w:rPr>
            </w:pPr>
            <w:r>
              <w:rPr>
                <w:sz w:val="20"/>
              </w:rPr>
              <w:t>12,081</w:t>
            </w:r>
          </w:p>
        </w:tc>
      </w:tr>
      <w:tr>
        <w:trPr/>
        <w:tc>
          <w:tcPr>
            <w:tcW w:w="4520" w:type="dxa"/>
            <w:tcBorders/>
            <w:shd w:fill="D5EAEA" w:val="clear"/>
            <w:vAlign w:val="center"/>
          </w:tcPr>
          <w:p>
            <w:pPr>
              <w:pStyle w:val="TableContents"/>
              <w:bidi w:val="0"/>
              <w:spacing w:before="0" w:after="283"/>
              <w:jc w:val="left"/>
              <w:rPr>
                <w:sz w:val="20"/>
              </w:rPr>
            </w:pPr>
            <w:r>
              <w:rPr>
                <w:sz w:val="20"/>
              </w:rPr>
              <w:t>Interest repaid</w:t>
            </w:r>
          </w:p>
        </w:tc>
        <w:tc>
          <w:tcPr>
            <w:tcW w:w="1190" w:type="dxa"/>
            <w:tcBorders/>
            <w:shd w:fill="D5EAEA" w:val="clear"/>
            <w:vAlign w:val="center"/>
          </w:tcPr>
          <w:p>
            <w:pPr>
              <w:pStyle w:val="TableContents"/>
              <w:bidi w:val="0"/>
              <w:spacing w:before="0" w:after="283"/>
              <w:jc w:val="right"/>
              <w:rPr>
                <w:sz w:val="20"/>
              </w:rPr>
            </w:pPr>
            <w:r>
              <w:rPr>
                <w:sz w:val="20"/>
              </w:rPr>
              <w:t>(5,945)</w:t>
            </w:r>
          </w:p>
        </w:tc>
        <w:tc>
          <w:tcPr>
            <w:tcW w:w="1610" w:type="dxa"/>
            <w:tcBorders/>
            <w:shd w:fill="D5EAEA" w:val="clear"/>
            <w:vAlign w:val="center"/>
          </w:tcPr>
          <w:p>
            <w:pPr>
              <w:pStyle w:val="TableContents"/>
              <w:bidi w:val="0"/>
              <w:spacing w:before="0" w:after="283"/>
              <w:jc w:val="right"/>
              <w:rPr>
                <w:sz w:val="20"/>
              </w:rPr>
            </w:pPr>
            <w:r>
              <w:rPr>
                <w:sz w:val="20"/>
              </w:rPr>
              <w:t>(13,742)</w:t>
            </w:r>
          </w:p>
        </w:tc>
      </w:tr>
      <w:tr>
        <w:trPr/>
        <w:tc>
          <w:tcPr>
            <w:tcW w:w="4520" w:type="dxa"/>
            <w:tcBorders/>
            <w:shd w:fill="FFFFFF" w:val="clear"/>
            <w:vAlign w:val="center"/>
          </w:tcPr>
          <w:p>
            <w:pPr>
              <w:pStyle w:val="TableContents"/>
              <w:bidi w:val="0"/>
              <w:spacing w:before="0" w:after="283"/>
              <w:jc w:val="left"/>
              <w:rPr>
                <w:sz w:val="20"/>
              </w:rPr>
            </w:pPr>
            <w:r>
              <w:rPr>
                <w:sz w:val="20"/>
              </w:rPr>
              <w:t>Currency translation adjustment</w:t>
            </w:r>
          </w:p>
        </w:tc>
        <w:tc>
          <w:tcPr>
            <w:tcW w:w="1190" w:type="dxa"/>
            <w:tcBorders/>
            <w:shd w:fill="FFFFFF" w:val="clear"/>
            <w:vAlign w:val="center"/>
          </w:tcPr>
          <w:p>
            <w:pPr>
              <w:pStyle w:val="TableContents"/>
              <w:bidi w:val="0"/>
              <w:spacing w:before="0" w:after="283"/>
              <w:jc w:val="right"/>
              <w:rPr>
                <w:sz w:val="20"/>
              </w:rPr>
            </w:pPr>
            <w:r>
              <w:rPr>
                <w:sz w:val="20"/>
              </w:rPr>
              <w:t>126</w:t>
            </w:r>
          </w:p>
        </w:tc>
        <w:tc>
          <w:tcPr>
            <w:tcW w:w="1610" w:type="dxa"/>
            <w:tcBorders/>
            <w:shd w:fill="FFFFFF" w:val="clear"/>
            <w:vAlign w:val="center"/>
          </w:tcPr>
          <w:p>
            <w:pPr>
              <w:pStyle w:val="TableContents"/>
              <w:bidi w:val="0"/>
              <w:spacing w:before="0" w:after="283"/>
              <w:jc w:val="right"/>
              <w:rPr>
                <w:sz w:val="20"/>
              </w:rPr>
            </w:pPr>
            <w:r>
              <w:rPr>
                <w:sz w:val="20"/>
              </w:rPr>
              <w:t>17</w:t>
            </w:r>
          </w:p>
        </w:tc>
      </w:tr>
      <w:tr>
        <w:trPr/>
        <w:tc>
          <w:tcPr>
            <w:tcW w:w="4520" w:type="dxa"/>
            <w:tcBorders/>
            <w:shd w:fill="D5EAEA" w:val="clear"/>
            <w:vAlign w:val="center"/>
          </w:tcPr>
          <w:p>
            <w:pPr>
              <w:pStyle w:val="TableContents"/>
              <w:bidi w:val="0"/>
              <w:spacing w:before="0" w:after="283"/>
              <w:jc w:val="left"/>
              <w:rPr>
                <w:b/>
                <w:sz w:val="20"/>
              </w:rPr>
            </w:pPr>
            <w:r>
              <w:rPr>
                <w:b/>
                <w:sz w:val="20"/>
              </w:rPr>
              <w:t>Closing balance at the end of the reporting period</w:t>
            </w:r>
          </w:p>
        </w:tc>
        <w:tc>
          <w:tcPr>
            <w:tcW w:w="119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color w:val="000000"/>
                <w:sz w:val="20"/>
              </w:rPr>
            </w:pPr>
            <w:r>
              <w:rPr>
                <w:b/>
                <w:color w:val="000000"/>
                <w:sz w:val="20"/>
              </w:rPr>
              <w:t>347,334</w:t>
            </w:r>
          </w:p>
        </w:tc>
        <w:tc>
          <w:tcPr>
            <w:tcW w:w="161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color w:val="000000"/>
                <w:sz w:val="20"/>
              </w:rPr>
            </w:pPr>
            <w:r>
              <w:rPr>
                <w:b/>
                <w:color w:val="000000"/>
                <w:sz w:val="20"/>
              </w:rPr>
              <w:t>174,868</w:t>
            </w:r>
          </w:p>
        </w:tc>
      </w:tr>
    </w:tbl>
    <w:tbl>
      <w:tblPr>
        <w:tblW w:w="2475" w:type="dxa"/>
        <w:jc w:val="center"/>
        <w:tblInd w:w="0" w:type="dxa"/>
        <w:tblLayout w:type="fixed"/>
        <w:tblCellMar>
          <w:top w:w="0" w:type="dxa"/>
          <w:left w:w="0" w:type="dxa"/>
          <w:bottom w:w="0" w:type="dxa"/>
          <w:right w:w="0" w:type="dxa"/>
        </w:tblCellMar>
      </w:tblPr>
      <w:tblGrid>
        <w:gridCol w:w="1070"/>
        <w:gridCol w:w="695"/>
        <w:gridCol w:w="710"/>
      </w:tblGrid>
      <w:tr>
        <w:trPr/>
        <w:tc>
          <w:tcPr>
            <w:tcW w:w="1070" w:type="dxa"/>
            <w:tcBorders/>
            <w:vAlign w:val="center"/>
          </w:tcPr>
          <w:p>
            <w:pPr>
              <w:pStyle w:val="TableContents"/>
              <w:bidi w:val="0"/>
              <w:spacing w:before="0" w:after="283"/>
              <w:jc w:val="left"/>
              <w:rPr>
                <w:b/>
                <w:sz w:val="20"/>
              </w:rPr>
            </w:pPr>
            <w:r>
              <w:rPr>
                <w:b/>
                <w:sz w:val="20"/>
              </w:rPr>
              <w:t>Current</w:t>
            </w:r>
          </w:p>
        </w:tc>
        <w:tc>
          <w:tcPr>
            <w:tcW w:w="695" w:type="dxa"/>
            <w:tcBorders/>
            <w:vAlign w:val="center"/>
          </w:tcPr>
          <w:p>
            <w:pPr>
              <w:pStyle w:val="TableContents"/>
              <w:bidi w:val="0"/>
              <w:spacing w:before="0" w:after="283"/>
              <w:jc w:val="right"/>
              <w:rPr>
                <w:b/>
                <w:sz w:val="20"/>
              </w:rPr>
            </w:pPr>
            <w:r>
              <w:rPr>
                <w:b/>
                <w:sz w:val="20"/>
              </w:rPr>
              <w:t>2,237</w:t>
            </w:r>
          </w:p>
        </w:tc>
        <w:tc>
          <w:tcPr>
            <w:tcW w:w="710" w:type="dxa"/>
            <w:tcBorders/>
            <w:vAlign w:val="center"/>
          </w:tcPr>
          <w:p>
            <w:pPr>
              <w:pStyle w:val="TableContents"/>
              <w:bidi w:val="0"/>
              <w:spacing w:before="0" w:after="283"/>
              <w:jc w:val="right"/>
              <w:rPr>
                <w:sz w:val="20"/>
              </w:rPr>
            </w:pPr>
            <w:r>
              <w:rPr>
                <w:sz w:val="20"/>
              </w:rPr>
              <w:t>-</w:t>
            </w:r>
          </w:p>
        </w:tc>
      </w:tr>
      <w:tr>
        <w:trPr/>
        <w:tc>
          <w:tcPr>
            <w:tcW w:w="1070" w:type="dxa"/>
            <w:tcBorders/>
            <w:shd w:fill="D5EAEA" w:val="clear"/>
            <w:vAlign w:val="center"/>
          </w:tcPr>
          <w:p>
            <w:pPr>
              <w:pStyle w:val="TableContents"/>
              <w:bidi w:val="0"/>
              <w:spacing w:before="0" w:after="283"/>
              <w:jc w:val="left"/>
              <w:rPr>
                <w:b/>
                <w:sz w:val="20"/>
              </w:rPr>
            </w:pPr>
            <w:r>
              <w:rPr>
                <w:b/>
                <w:sz w:val="20"/>
              </w:rPr>
              <w:t>Non-current</w:t>
            </w:r>
          </w:p>
        </w:tc>
        <w:tc>
          <w:tcPr>
            <w:tcW w:w="695" w:type="dxa"/>
            <w:tcBorders/>
            <w:shd w:fill="D5EAEA" w:val="clear"/>
            <w:vAlign w:val="center"/>
          </w:tcPr>
          <w:p>
            <w:pPr>
              <w:pStyle w:val="TableContents"/>
              <w:bidi w:val="0"/>
              <w:spacing w:before="0" w:after="283"/>
              <w:jc w:val="right"/>
              <w:rPr>
                <w:b/>
                <w:sz w:val="20"/>
              </w:rPr>
            </w:pPr>
            <w:r>
              <w:rPr>
                <w:b/>
                <w:sz w:val="20"/>
              </w:rPr>
              <w:t>345,097</w:t>
            </w:r>
          </w:p>
        </w:tc>
        <w:tc>
          <w:tcPr>
            <w:tcW w:w="710" w:type="dxa"/>
            <w:tcBorders/>
            <w:shd w:fill="D5EAEA" w:val="clear"/>
            <w:vAlign w:val="center"/>
          </w:tcPr>
          <w:p>
            <w:pPr>
              <w:pStyle w:val="TableContents"/>
              <w:bidi w:val="0"/>
              <w:spacing w:before="0" w:after="283"/>
              <w:jc w:val="right"/>
              <w:rPr>
                <w:b/>
                <w:sz w:val="20"/>
              </w:rPr>
            </w:pPr>
            <w:r>
              <w:rPr>
                <w:b/>
                <w:sz w:val="20"/>
              </w:rPr>
              <w:t>174,868</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are initially measured at fair value minus transaction costs and subsequently measured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According to the terms of the credit agreements, the Company is committed to being compliant with the following financial covenants, on an annual basis: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78"/>
        <w:gridCol w:w="9882"/>
      </w:tblGrid>
      <w:tr>
        <w:trPr/>
        <w:tc>
          <w:tcPr>
            <w:tcW w:w="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(i)</w:t>
            </w:r>
          </w:p>
        </w:tc>
        <w:tc>
          <w:tcPr>
            <w:tcW w:w="9882" w:type="dxa"/>
            <w:tcBorders/>
            <w:vAlign w:val="center"/>
          </w:tcPr>
          <w:p>
            <w:pPr>
              <w:pStyle w:val="TableContents"/>
              <w:bidi w:val="0"/>
              <w:spacing w:before="0" w:after="283"/>
              <w:jc w:val="left"/>
              <w:rPr>
                <w:shd w:fill="FFFFFF" w:val="clear"/>
              </w:rPr>
            </w:pPr>
            <w:r>
              <w:rPr>
                <w:shd w:fill="FFFFFF" w:val="clear"/>
              </w:rPr>
              <w:t>To maintain a Total Debt to Fee Related Earnings (“FRE”) not exceeding 2.5:1.0;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5"/>
        <w:gridCol w:w="9793"/>
      </w:tblGrid>
      <w:tr>
        <w:trPr/>
        <w:tc>
          <w:tcPr>
            <w:tcW w:w="4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(ii)</w:t>
            </w:r>
          </w:p>
        </w:tc>
        <w:tc>
          <w:tcPr>
            <w:tcW w:w="9793" w:type="dxa"/>
            <w:tcBorders/>
            <w:vAlign w:val="center"/>
          </w:tcPr>
          <w:p>
            <w:pPr>
              <w:pStyle w:val="TableContents"/>
              <w:bidi w:val="0"/>
              <w:spacing w:before="0" w:after="283"/>
              <w:jc w:val="left"/>
              <w:rPr>
                <w:shd w:fill="FFFFFF" w:val="clear"/>
              </w:rPr>
            </w:pPr>
            <w:r>
              <w:rPr>
                <w:shd w:fill="FFFFFF" w:val="clear"/>
              </w:rPr>
              <w:t>To maintain a minimum Assets Under Management (“AUM”) of $20,000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Total debt is comprised of all loan facilities from banks. FRE represents the value described in the Company’s 20F filing for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As of June 30, 2026, and December 31, 2025, the Company was compliant with the stipulated financial covenants as stated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Non-financial covenants are monitored by the Company on a regular basis with no non-compliance reported to date. Non-financial covenants </w:t>
      </w:r>
      <w:r>
        <w:rPr>
          <w:rFonts w:ascii="Times New Roman;Times;Serif" w:hAnsi="Times New Roman;Times;Serif"/>
          <w:b w:val="false"/>
          <w:i w:val="false"/>
          <w:caps w:val="false"/>
          <w:smallCaps w:val="false"/>
          <w:sz w:val="20"/>
        </w:rPr>
        <w:t>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332"/>
        <w:gridCol w:w="9773"/>
      </w:tblGrid>
      <w:tr>
        <w:trPr/>
        <w:tc>
          <w:tcPr>
            <w:tcW w:w="10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rFonts w:ascii="Symbol" w:hAnsi="Symbol"/>
                <w:b/>
              </w:rPr>
            </w:pPr>
            <w:r>
              <w:rPr>
                <w:rFonts w:ascii="Symbol" w:hAnsi="Symbol"/>
                <w:b/>
              </w:rPr>
              <w:t>·</w:t>
            </w:r>
          </w:p>
        </w:tc>
        <w:tc>
          <w:tcPr>
            <w:tcW w:w="9773" w:type="dxa"/>
            <w:tcBorders/>
            <w:vAlign w:val="center"/>
          </w:tcPr>
          <w:p>
            <w:pPr>
              <w:pStyle w:val="TableContents"/>
              <w:bidi w:val="0"/>
              <w:spacing w:before="0" w:after="283"/>
              <w:jc w:val="both"/>
              <w:rPr>
                <w:shd w:fill="FFFFFF" w:val="clear"/>
              </w:rPr>
            </w:pPr>
            <w:r>
              <w:rPr>
                <w:shd w:fill="FFFFFF" w:val="clear"/>
              </w:rPr>
              <w:t xml:space="preserve">Compliance with environmental laws;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275"/>
        <w:gridCol w:w="9847"/>
      </w:tblGrid>
      <w:tr>
        <w:trPr/>
        <w:tc>
          <w:tcPr>
            <w:tcW w:w="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Symbol" w:hAnsi="Symbol"/>
                <w:b/>
              </w:rPr>
            </w:pPr>
            <w:r>
              <w:rPr>
                <w:rFonts w:ascii="Symbol" w:hAnsi="Symbol"/>
                <w:b/>
              </w:rPr>
              <w:t>·</w:t>
            </w:r>
          </w:p>
        </w:tc>
        <w:tc>
          <w:tcPr>
            <w:tcW w:w="9847" w:type="dxa"/>
            <w:tcBorders/>
            <w:vAlign w:val="center"/>
          </w:tcPr>
          <w:p>
            <w:pPr>
              <w:pStyle w:val="TableContents"/>
              <w:bidi w:val="0"/>
              <w:spacing w:before="0" w:after="283"/>
              <w:jc w:val="both"/>
              <w:rPr>
                <w:shd w:fill="FFFFFF" w:val="clear"/>
              </w:rPr>
            </w:pPr>
            <w:r>
              <w:rPr>
                <w:shd w:fill="FFFFFF" w:val="clear"/>
              </w:rPr>
              <w:t>Providing notice of litigation and other matters;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b/>
              </w:rPr>
            </w:pPr>
            <w:r>
              <w:rPr>
                <w:rFonts w:ascii="Symbol" w:hAnsi="Symbol"/>
                <w:b/>
              </w:rPr>
              <w:t>·</w:t>
            </w:r>
          </w:p>
        </w:tc>
        <w:tc>
          <w:tcPr>
            <w:tcW w:w="9897" w:type="dxa"/>
            <w:tcBorders/>
            <w:vAlign w:val="center"/>
          </w:tcPr>
          <w:p>
            <w:pPr>
              <w:pStyle w:val="TableContents"/>
              <w:bidi w:val="0"/>
              <w:spacing w:before="0" w:after="283"/>
              <w:jc w:val="both"/>
              <w:rPr>
                <w:shd w:fill="FFFFFF" w:val="clear"/>
              </w:rPr>
            </w:pPr>
            <w:r>
              <w:rPr>
                <w:shd w:fill="FFFFFF" w:val="clear"/>
              </w:rPr>
              <w:t>Preservation of corporate existence and related matters;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276"/>
        <w:gridCol w:w="9846"/>
      </w:tblGrid>
      <w:tr>
        <w:trPr/>
        <w:tc>
          <w:tcPr>
            <w:tcW w:w="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Symbol" w:hAnsi="Symbol"/>
                <w:b/>
              </w:rPr>
            </w:pPr>
            <w:r>
              <w:rPr>
                <w:rFonts w:ascii="Symbol" w:hAnsi="Symbol"/>
                <w:b/>
              </w:rPr>
              <w:t>·</w:t>
            </w:r>
          </w:p>
        </w:tc>
        <w:tc>
          <w:tcPr>
            <w:tcW w:w="9846" w:type="dxa"/>
            <w:tcBorders/>
            <w:vAlign w:val="center"/>
          </w:tcPr>
          <w:p>
            <w:pPr>
              <w:pStyle w:val="TableContents"/>
              <w:bidi w:val="0"/>
              <w:spacing w:before="0" w:after="283"/>
              <w:jc w:val="both"/>
              <w:rPr>
                <w:shd w:fill="FFFFFF" w:val="clear"/>
              </w:rPr>
            </w:pPr>
            <w:r>
              <w:rPr>
                <w:shd w:fill="FFFFFF" w:val="clear"/>
              </w:rPr>
              <w:t>Maintenance of property, plant and equipment;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Symbol" w:hAnsi="Symbol"/>
                <w:b/>
              </w:rPr>
            </w:pPr>
            <w:r>
              <w:rPr>
                <w:rFonts w:ascii="Symbol" w:hAnsi="Symbol"/>
                <w:b/>
              </w:rPr>
              <w:t>·</w:t>
            </w:r>
          </w:p>
        </w:tc>
        <w:tc>
          <w:tcPr>
            <w:tcW w:w="9880" w:type="dxa"/>
            <w:tcBorders/>
            <w:vAlign w:val="center"/>
          </w:tcPr>
          <w:p>
            <w:pPr>
              <w:pStyle w:val="TableContents"/>
              <w:bidi w:val="0"/>
              <w:spacing w:before="0" w:after="283"/>
              <w:jc w:val="both"/>
              <w:rPr>
                <w:shd w:fill="FFFFFF" w:val="clear"/>
              </w:rPr>
            </w:pPr>
            <w:r>
              <w:rPr>
                <w:shd w:fill="FFFFFF" w:val="clear"/>
              </w:rPr>
              <w:t>Compliance with laws and governmental approvals;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rPr>
            </w:pPr>
            <w:r>
              <w:rPr>
                <w:rFonts w:ascii="Symbol" w:hAnsi="Symbol"/>
                <w:b/>
              </w:rPr>
              <w:t>·</w:t>
            </w:r>
          </w:p>
        </w:tc>
        <w:tc>
          <w:tcPr>
            <w:tcW w:w="10043" w:type="dxa"/>
            <w:tcBorders/>
            <w:vAlign w:val="center"/>
          </w:tcPr>
          <w:p>
            <w:pPr>
              <w:pStyle w:val="TableContents"/>
              <w:bidi w:val="0"/>
              <w:spacing w:before="0" w:after="283"/>
              <w:jc w:val="both"/>
              <w:rPr>
                <w:shd w:fill="FFFFFF" w:val="clear"/>
              </w:rPr>
            </w:pPr>
            <w:r>
              <w:rPr>
                <w:shd w:fill="FFFFFF" w:val="clear"/>
              </w:rPr>
              <w:t>Use the proceeds for general investments, working capital, and general corporate purposes of the Borrower and its Subsidiaries, and ensure no part of the proceeds is used for purchasing or carrying margin stock or for any purpose which violates the provisions;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rPr>
            </w:pPr>
            <w:r>
              <w:rPr>
                <w:rFonts w:ascii="Symbol" w:hAnsi="Symbol"/>
                <w:b/>
              </w:rPr>
              <w:t>·</w:t>
            </w:r>
          </w:p>
        </w:tc>
        <w:tc>
          <w:tcPr>
            <w:tcW w:w="10043" w:type="dxa"/>
            <w:tcBorders/>
            <w:vAlign w:val="center"/>
          </w:tcPr>
          <w:p>
            <w:pPr>
              <w:pStyle w:val="TableContents"/>
              <w:bidi w:val="0"/>
              <w:spacing w:before="0" w:after="283"/>
              <w:jc w:val="both"/>
              <w:rPr>
                <w:shd w:fill="FFFFFF" w:val="clear"/>
              </w:rPr>
            </w:pPr>
            <w:r>
              <w:rPr>
                <w:shd w:fill="FFFFFF" w:val="clear"/>
              </w:rPr>
              <w:t>Comply with all applicable Anti-Money Laundering Laws and Anti-Corruption Laws, and maintain policies and procedures designed to ensure compliance with these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b/>
              </w:rPr>
            </w:pPr>
            <w:r>
              <w:rPr>
                <w:rFonts w:ascii="Symbol" w:hAnsi="Symbol"/>
                <w:b/>
              </w:rPr>
              <w:t>·</w:t>
            </w:r>
          </w:p>
        </w:tc>
        <w:tc>
          <w:tcPr>
            <w:tcW w:w="9990" w:type="dxa"/>
            <w:tcBorders/>
            <w:vAlign w:val="center"/>
          </w:tcPr>
          <w:p>
            <w:pPr>
              <w:pStyle w:val="TableContents"/>
              <w:bidi w:val="0"/>
              <w:spacing w:before="0" w:after="283"/>
              <w:jc w:val="both"/>
              <w:rPr>
                <w:shd w:fill="FFFFFF" w:val="clear"/>
              </w:rPr>
            </w:pPr>
            <w:r>
              <w:rPr>
                <w:shd w:fill="FFFFFF" w:val="clear"/>
              </w:rPr>
              <w:t>Filing of 20F on time with the SEC including extensions permitted by the SEC;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rPr>
            </w:pPr>
            <w:r>
              <w:rPr>
                <w:rFonts w:ascii="Symbol" w:hAnsi="Symbol"/>
                <w:b/>
              </w:rPr>
              <w:t>·</w:t>
            </w:r>
          </w:p>
        </w:tc>
        <w:tc>
          <w:tcPr>
            <w:tcW w:w="10043" w:type="dxa"/>
            <w:tcBorders/>
            <w:vAlign w:val="center"/>
          </w:tcPr>
          <w:p>
            <w:pPr>
              <w:pStyle w:val="TableContents"/>
              <w:bidi w:val="0"/>
              <w:spacing w:before="0" w:after="283"/>
              <w:jc w:val="both"/>
              <w:rPr>
                <w:shd w:fill="FFFFFF" w:val="clear"/>
              </w:rPr>
            </w:pPr>
            <w:r>
              <w:rPr>
                <w:shd w:fill="FFFFFF" w:val="clear"/>
              </w:rPr>
              <w:t>Maintain a system of accounting, and keep books, records and accounts as may be required or as may be necessary to permit the preparation of financial statements;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449"/>
        <w:gridCol w:w="9620"/>
      </w:tblGrid>
      <w:tr>
        <w:trPr/>
        <w:tc>
          <w:tcPr>
            <w:tcW w:w="13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rFonts w:ascii="Symbol" w:hAnsi="Symbol"/>
                <w:b/>
              </w:rPr>
            </w:pPr>
            <w:r>
              <w:rPr>
                <w:rFonts w:ascii="Symbol" w:hAnsi="Symbol"/>
                <w:b/>
              </w:rPr>
              <w:t>·</w:t>
            </w:r>
          </w:p>
        </w:tc>
        <w:tc>
          <w:tcPr>
            <w:tcW w:w="9620" w:type="dxa"/>
            <w:tcBorders/>
            <w:vAlign w:val="center"/>
          </w:tcPr>
          <w:p>
            <w:pPr>
              <w:pStyle w:val="TableContents"/>
              <w:bidi w:val="0"/>
              <w:spacing w:before="0" w:after="283"/>
              <w:jc w:val="both"/>
              <w:rPr>
                <w:shd w:fill="FFFFFF" w:val="clear"/>
              </w:rPr>
            </w:pPr>
            <w:r>
              <w:rPr>
                <w:shd w:fill="FFFFFF" w:val="clear"/>
              </w:rPr>
              <w:t>Retaining key management.</w:t>
            </w:r>
          </w:p>
        </w:tc>
      </w:tr>
    </w:tbl>
    <w:p>
      <w:pPr>
        <w:pStyle w:val="TextBody"/>
        <w:bidi w:val="0"/>
        <w:spacing w:before="0" w:after="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pPr>
            <w:r>
              <w:rPr/>
              <w:t>17.</w:t>
            </w:r>
          </w:p>
        </w:tc>
        <w:tc>
          <w:tcPr>
            <w:tcW w:w="1400" w:type="dxa"/>
            <w:tcBorders/>
            <w:vAlign w:val="center"/>
          </w:tcPr>
          <w:p>
            <w:pPr>
              <w:pStyle w:val="TableContents"/>
              <w:bidi w:val="0"/>
              <w:spacing w:before="0" w:after="283"/>
              <w:jc w:val="left"/>
              <w:rPr/>
            </w:pPr>
            <w:r>
              <w:rPr/>
              <w:t>Taxes payable</w:t>
            </w:r>
          </w:p>
        </w:tc>
      </w:tr>
    </w:tbl>
    <w:p>
      <w:pPr>
        <w:pStyle w:val="TextBody"/>
        <w:bidi w:val="0"/>
        <w:spacing w:before="0" w:after="0"/>
        <w:jc w:val="left"/>
        <w:rPr>
          <w:caps w:val="false"/>
          <w:smallCaps w:val="false"/>
        </w:rPr>
      </w:pPr>
      <w:r>
        <w:rPr>
          <w:caps w:val="false"/>
          <w:smallCaps w:val="false"/>
        </w:rPr>
        <w:t> </w:t>
      </w:r>
    </w:p>
    <w:tbl>
      <w:tblPr>
        <w:tblW w:w="4485" w:type="dxa"/>
        <w:jc w:val="center"/>
        <w:tblInd w:w="0" w:type="dxa"/>
        <w:tblLayout w:type="fixed"/>
        <w:tblCellMar>
          <w:top w:w="0" w:type="dxa"/>
          <w:left w:w="0" w:type="dxa"/>
          <w:bottom w:w="0" w:type="dxa"/>
          <w:right w:w="0" w:type="dxa"/>
        </w:tblCellMar>
      </w:tblPr>
      <w:tblGrid>
        <w:gridCol w:w="1640"/>
        <w:gridCol w:w="1190"/>
        <w:gridCol w:w="1655"/>
      </w:tblGrid>
      <w:tr>
        <w:trPr/>
        <w:tc>
          <w:tcPr>
            <w:tcW w:w="164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1640" w:type="dxa"/>
            <w:tcBorders/>
            <w:shd w:fill="D5EAEA" w:val="clear"/>
            <w:vAlign w:val="center"/>
          </w:tcPr>
          <w:p>
            <w:pPr>
              <w:pStyle w:val="TableContents"/>
              <w:bidi w:val="0"/>
              <w:spacing w:before="0" w:after="283"/>
              <w:jc w:val="left"/>
              <w:rPr>
                <w:sz w:val="20"/>
              </w:rPr>
            </w:pPr>
            <w:r>
              <w:rPr>
                <w:sz w:val="20"/>
              </w:rPr>
              <w:t xml:space="preserve">Taxes on revenues </w:t>
            </w:r>
          </w:p>
        </w:tc>
        <w:tc>
          <w:tcPr>
            <w:tcW w:w="1190" w:type="dxa"/>
            <w:tcBorders/>
            <w:shd w:fill="D5EAEA" w:val="clear"/>
            <w:vAlign w:val="center"/>
          </w:tcPr>
          <w:p>
            <w:pPr>
              <w:pStyle w:val="TableContents"/>
              <w:bidi w:val="0"/>
              <w:spacing w:before="0" w:after="283"/>
              <w:jc w:val="right"/>
              <w:rPr>
                <w:sz w:val="20"/>
              </w:rPr>
            </w:pPr>
            <w:r>
              <w:rPr>
                <w:sz w:val="20"/>
              </w:rPr>
              <w:t>2,765</w:t>
            </w:r>
          </w:p>
        </w:tc>
        <w:tc>
          <w:tcPr>
            <w:tcW w:w="1655" w:type="dxa"/>
            <w:tcBorders/>
            <w:shd w:fill="D5EAEA" w:val="clear"/>
            <w:vAlign w:val="center"/>
          </w:tcPr>
          <w:p>
            <w:pPr>
              <w:pStyle w:val="TableContents"/>
              <w:bidi w:val="0"/>
              <w:spacing w:before="0" w:after="283"/>
              <w:jc w:val="right"/>
              <w:rPr>
                <w:sz w:val="20"/>
              </w:rPr>
            </w:pPr>
            <w:r>
              <w:rPr>
                <w:sz w:val="20"/>
              </w:rPr>
              <w:t>2,835</w:t>
            </w:r>
          </w:p>
        </w:tc>
      </w:tr>
      <w:tr>
        <w:trPr/>
        <w:tc>
          <w:tcPr>
            <w:tcW w:w="1640" w:type="dxa"/>
            <w:tcBorders/>
            <w:shd w:fill="FFFFFF" w:val="clear"/>
            <w:vAlign w:val="center"/>
          </w:tcPr>
          <w:p>
            <w:pPr>
              <w:pStyle w:val="TableContents"/>
              <w:bidi w:val="0"/>
              <w:spacing w:before="0" w:after="283"/>
              <w:jc w:val="left"/>
              <w:rPr>
                <w:sz w:val="20"/>
              </w:rPr>
            </w:pPr>
            <w:r>
              <w:rPr>
                <w:sz w:val="20"/>
              </w:rPr>
              <w:t>Income taxes (a)</w:t>
            </w:r>
          </w:p>
        </w:tc>
        <w:tc>
          <w:tcPr>
            <w:tcW w:w="1190" w:type="dxa"/>
            <w:tcBorders/>
            <w:shd w:fill="FFFFFF" w:val="clear"/>
            <w:vAlign w:val="center"/>
          </w:tcPr>
          <w:p>
            <w:pPr>
              <w:pStyle w:val="TableContents"/>
              <w:bidi w:val="0"/>
              <w:spacing w:before="0" w:after="283"/>
              <w:jc w:val="right"/>
              <w:rPr>
                <w:sz w:val="20"/>
              </w:rPr>
            </w:pPr>
            <w:r>
              <w:rPr>
                <w:sz w:val="20"/>
              </w:rPr>
              <w:t>7,023</w:t>
            </w:r>
          </w:p>
        </w:tc>
        <w:tc>
          <w:tcPr>
            <w:tcW w:w="1655" w:type="dxa"/>
            <w:tcBorders/>
            <w:shd w:fill="FFFFFF" w:val="clear"/>
            <w:vAlign w:val="center"/>
          </w:tcPr>
          <w:p>
            <w:pPr>
              <w:pStyle w:val="TableContents"/>
              <w:bidi w:val="0"/>
              <w:spacing w:before="0" w:after="283"/>
              <w:jc w:val="right"/>
              <w:rPr>
                <w:sz w:val="20"/>
              </w:rPr>
            </w:pPr>
            <w:r>
              <w:rPr>
                <w:sz w:val="20"/>
              </w:rPr>
              <w:t>8,380</w:t>
            </w:r>
          </w:p>
        </w:tc>
      </w:tr>
      <w:tr>
        <w:trPr/>
        <w:tc>
          <w:tcPr>
            <w:tcW w:w="1640" w:type="dxa"/>
            <w:tcBorders/>
            <w:shd w:fill="D5EAEA" w:val="clear"/>
            <w:vAlign w:val="center"/>
          </w:tcPr>
          <w:p>
            <w:pPr>
              <w:pStyle w:val="TableContents"/>
              <w:bidi w:val="0"/>
              <w:spacing w:before="0" w:after="283"/>
              <w:jc w:val="left"/>
              <w:rPr>
                <w:sz w:val="20"/>
              </w:rPr>
            </w:pPr>
            <w:r>
              <w:rPr>
                <w:sz w:val="20"/>
              </w:rPr>
              <w:t>Other taxes payable</w:t>
            </w:r>
          </w:p>
        </w:tc>
        <w:tc>
          <w:tcPr>
            <w:tcW w:w="119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1,547</w:t>
            </w:r>
          </w:p>
        </w:tc>
        <w:tc>
          <w:tcPr>
            <w:tcW w:w="165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822</w:t>
            </w:r>
          </w:p>
        </w:tc>
      </w:tr>
      <w:tr>
        <w:trPr/>
        <w:tc>
          <w:tcPr>
            <w:tcW w:w="1640" w:type="dxa"/>
            <w:tcBorders/>
            <w:shd w:fill="FFFFFF" w:val="clear"/>
            <w:vAlign w:val="center"/>
          </w:tcPr>
          <w:p>
            <w:pPr>
              <w:pStyle w:val="TableContents"/>
              <w:bidi w:val="0"/>
              <w:spacing w:before="0" w:after="283"/>
              <w:jc w:val="left"/>
              <w:rPr>
                <w:b/>
                <w:sz w:val="20"/>
              </w:rPr>
            </w:pPr>
            <w:r>
              <w:rPr>
                <w:b/>
                <w:sz w:val="20"/>
              </w:rPr>
              <w:t>Taxes payable</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11,335</w:t>
            </w:r>
          </w:p>
        </w:tc>
        <w:tc>
          <w:tcPr>
            <w:tcW w:w="16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12,037</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Income taxes payable mainly comprised of income taxes due to tax authorities in Chile, Colombia and the United Kingdom.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335"/>
        <w:gridCol w:w="1475"/>
      </w:tblGrid>
      <w:tr>
        <w:trPr/>
        <w:tc>
          <w:tcPr>
            <w:tcW w:w="335" w:type="dxa"/>
            <w:tcBorders/>
            <w:vAlign w:val="center"/>
          </w:tcPr>
          <w:p>
            <w:pPr>
              <w:pStyle w:val="TableContents"/>
              <w:bidi w:val="0"/>
              <w:spacing w:before="0" w:after="283"/>
              <w:jc w:val="left"/>
              <w:rPr/>
            </w:pPr>
            <w:r>
              <w:rPr/>
              <w:t>18.</w:t>
            </w:r>
          </w:p>
        </w:tc>
        <w:tc>
          <w:tcPr>
            <w:tcW w:w="1475" w:type="dxa"/>
            <w:tcBorders/>
            <w:vAlign w:val="center"/>
          </w:tcPr>
          <w:p>
            <w:pPr>
              <w:pStyle w:val="TableContents"/>
              <w:bidi w:val="0"/>
              <w:spacing w:before="0" w:after="283"/>
              <w:jc w:val="left"/>
              <w:rPr/>
            </w:pPr>
            <w:r>
              <w:rPr/>
              <w:t>Other liabilities</w:t>
            </w:r>
          </w:p>
        </w:tc>
      </w:tr>
    </w:tbl>
    <w:p>
      <w:pPr>
        <w:pStyle w:val="TextBody"/>
        <w:bidi w:val="0"/>
        <w:spacing w:before="0" w:after="0"/>
        <w:jc w:val="left"/>
        <w:rPr>
          <w:caps w:val="false"/>
          <w:smallCaps w:val="false"/>
        </w:rPr>
      </w:pPr>
      <w:r>
        <w:rPr>
          <w:caps w:val="false"/>
          <w:smallCaps w:val="false"/>
        </w:rPr>
        <w:t> </w:t>
      </w:r>
    </w:p>
    <w:tbl>
      <w:tblPr>
        <w:tblW w:w="5265" w:type="dxa"/>
        <w:jc w:val="center"/>
        <w:tblInd w:w="0" w:type="dxa"/>
        <w:tblLayout w:type="fixed"/>
        <w:tblCellMar>
          <w:top w:w="0" w:type="dxa"/>
          <w:left w:w="0" w:type="dxa"/>
          <w:bottom w:w="0" w:type="dxa"/>
          <w:right w:w="0" w:type="dxa"/>
        </w:tblCellMar>
      </w:tblPr>
      <w:tblGrid>
        <w:gridCol w:w="2420"/>
        <w:gridCol w:w="1190"/>
        <w:gridCol w:w="1655"/>
      </w:tblGrid>
      <w:tr>
        <w:trPr/>
        <w:tc>
          <w:tcPr>
            <w:tcW w:w="242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2420" w:type="dxa"/>
            <w:tcBorders/>
            <w:shd w:fill="D5EAEA" w:val="clear"/>
            <w:vAlign w:val="center"/>
          </w:tcPr>
          <w:p>
            <w:pPr>
              <w:pStyle w:val="TableContents"/>
              <w:bidi w:val="0"/>
              <w:spacing w:before="0" w:after="283"/>
              <w:jc w:val="left"/>
              <w:rPr>
                <w:sz w:val="20"/>
              </w:rPr>
            </w:pPr>
            <w:r>
              <w:rPr>
                <w:sz w:val="20"/>
              </w:rPr>
              <w:t>Suppliers (a)</w:t>
            </w:r>
          </w:p>
        </w:tc>
        <w:tc>
          <w:tcPr>
            <w:tcW w:w="1190" w:type="dxa"/>
            <w:tcBorders/>
            <w:shd w:fill="D5EAEA" w:val="clear"/>
            <w:vAlign w:val="center"/>
          </w:tcPr>
          <w:p>
            <w:pPr>
              <w:pStyle w:val="TableContents"/>
              <w:bidi w:val="0"/>
              <w:spacing w:before="0" w:after="283"/>
              <w:jc w:val="right"/>
              <w:rPr>
                <w:sz w:val="20"/>
              </w:rPr>
            </w:pPr>
            <w:r>
              <w:rPr>
                <w:sz w:val="20"/>
              </w:rPr>
              <w:t>167,531</w:t>
            </w:r>
          </w:p>
        </w:tc>
        <w:tc>
          <w:tcPr>
            <w:tcW w:w="1655" w:type="dxa"/>
            <w:tcBorders/>
            <w:shd w:fill="D5EAEA" w:val="clear"/>
            <w:vAlign w:val="center"/>
          </w:tcPr>
          <w:p>
            <w:pPr>
              <w:pStyle w:val="TableContents"/>
              <w:bidi w:val="0"/>
              <w:spacing w:before="0" w:after="283"/>
              <w:jc w:val="right"/>
              <w:rPr>
                <w:sz w:val="20"/>
              </w:rPr>
            </w:pPr>
            <w:r>
              <w:rPr>
                <w:sz w:val="20"/>
              </w:rPr>
              <w:t>58,841</w:t>
            </w:r>
          </w:p>
        </w:tc>
      </w:tr>
      <w:tr>
        <w:trPr/>
        <w:tc>
          <w:tcPr>
            <w:tcW w:w="2420" w:type="dxa"/>
            <w:tcBorders/>
            <w:shd w:fill="FFFFFF" w:val="clear"/>
            <w:vAlign w:val="center"/>
          </w:tcPr>
          <w:p>
            <w:pPr>
              <w:pStyle w:val="TableContents"/>
              <w:bidi w:val="0"/>
              <w:spacing w:before="0" w:after="283"/>
              <w:jc w:val="left"/>
              <w:rPr>
                <w:sz w:val="20"/>
              </w:rPr>
            </w:pPr>
            <w:r>
              <w:rPr>
                <w:sz w:val="20"/>
              </w:rPr>
              <w:t>Asset-backed payable (c)</w:t>
            </w:r>
          </w:p>
        </w:tc>
        <w:tc>
          <w:tcPr>
            <w:tcW w:w="1190" w:type="dxa"/>
            <w:tcBorders/>
            <w:shd w:fill="FFFFFF" w:val="clear"/>
            <w:vAlign w:val="center"/>
          </w:tcPr>
          <w:p>
            <w:pPr>
              <w:pStyle w:val="TableContents"/>
              <w:bidi w:val="0"/>
              <w:spacing w:before="0" w:after="283"/>
              <w:jc w:val="right"/>
              <w:rPr>
                <w:sz w:val="20"/>
              </w:rPr>
            </w:pPr>
            <w:r>
              <w:rPr>
                <w:sz w:val="20"/>
              </w:rPr>
              <w:t>70,591</w:t>
            </w:r>
          </w:p>
        </w:tc>
        <w:tc>
          <w:tcPr>
            <w:tcW w:w="1655" w:type="dxa"/>
            <w:tcBorders/>
            <w:shd w:fill="FFFFFF" w:val="clear"/>
            <w:vAlign w:val="center"/>
          </w:tcPr>
          <w:p>
            <w:pPr>
              <w:pStyle w:val="TableContents"/>
              <w:bidi w:val="0"/>
              <w:spacing w:before="0" w:after="283"/>
              <w:jc w:val="right"/>
              <w:rPr>
                <w:sz w:val="20"/>
              </w:rPr>
            </w:pPr>
            <w:r>
              <w:rPr>
                <w:sz w:val="20"/>
              </w:rPr>
              <w:t>-</w:t>
            </w:r>
          </w:p>
        </w:tc>
      </w:tr>
      <w:tr>
        <w:trPr/>
        <w:tc>
          <w:tcPr>
            <w:tcW w:w="2420" w:type="dxa"/>
            <w:tcBorders/>
            <w:shd w:fill="D5EAEA" w:val="clear"/>
            <w:vAlign w:val="center"/>
          </w:tcPr>
          <w:p>
            <w:pPr>
              <w:pStyle w:val="TableContents"/>
              <w:bidi w:val="0"/>
              <w:spacing w:before="0" w:after="283"/>
              <w:jc w:val="left"/>
              <w:rPr>
                <w:sz w:val="20"/>
              </w:rPr>
            </w:pPr>
            <w:r>
              <w:rPr>
                <w:sz w:val="20"/>
              </w:rPr>
              <w:t>Lease liabilities (b)</w:t>
            </w:r>
          </w:p>
        </w:tc>
        <w:tc>
          <w:tcPr>
            <w:tcW w:w="1190" w:type="dxa"/>
            <w:tcBorders/>
            <w:shd w:fill="D5EAEA" w:val="clear"/>
            <w:vAlign w:val="center"/>
          </w:tcPr>
          <w:p>
            <w:pPr>
              <w:pStyle w:val="TableContents"/>
              <w:bidi w:val="0"/>
              <w:spacing w:before="0" w:after="283"/>
              <w:jc w:val="right"/>
              <w:rPr>
                <w:sz w:val="20"/>
              </w:rPr>
            </w:pPr>
            <w:r>
              <w:rPr>
                <w:sz w:val="20"/>
              </w:rPr>
              <w:t>8,556</w:t>
            </w:r>
          </w:p>
        </w:tc>
        <w:tc>
          <w:tcPr>
            <w:tcW w:w="1655" w:type="dxa"/>
            <w:tcBorders/>
            <w:shd w:fill="D5EAEA" w:val="clear"/>
            <w:vAlign w:val="center"/>
          </w:tcPr>
          <w:p>
            <w:pPr>
              <w:pStyle w:val="TableContents"/>
              <w:bidi w:val="0"/>
              <w:spacing w:before="0" w:after="283"/>
              <w:jc w:val="right"/>
              <w:rPr>
                <w:sz w:val="20"/>
              </w:rPr>
            </w:pPr>
            <w:r>
              <w:rPr>
                <w:sz w:val="20"/>
              </w:rPr>
              <w:t>4,333</w:t>
            </w:r>
          </w:p>
        </w:tc>
      </w:tr>
      <w:tr>
        <w:trPr/>
        <w:tc>
          <w:tcPr>
            <w:tcW w:w="2420" w:type="dxa"/>
            <w:tcBorders/>
            <w:shd w:fill="FFFFFF" w:val="clear"/>
            <w:vAlign w:val="center"/>
          </w:tcPr>
          <w:p>
            <w:pPr>
              <w:pStyle w:val="TableContents"/>
              <w:bidi w:val="0"/>
              <w:spacing w:before="0" w:after="283"/>
              <w:jc w:val="left"/>
              <w:rPr>
                <w:sz w:val="20"/>
              </w:rPr>
            </w:pPr>
            <w:r>
              <w:rPr>
                <w:sz w:val="20"/>
              </w:rPr>
              <w:t>Unearned revenues (d)</w:t>
            </w:r>
          </w:p>
        </w:tc>
        <w:tc>
          <w:tcPr>
            <w:tcW w:w="1190" w:type="dxa"/>
            <w:tcBorders/>
            <w:shd w:fill="FFFFFF" w:val="clear"/>
            <w:vAlign w:val="center"/>
          </w:tcPr>
          <w:p>
            <w:pPr>
              <w:pStyle w:val="TableContents"/>
              <w:bidi w:val="0"/>
              <w:spacing w:before="0" w:after="283"/>
              <w:jc w:val="right"/>
              <w:rPr>
                <w:sz w:val="20"/>
              </w:rPr>
            </w:pPr>
            <w:r>
              <w:rPr>
                <w:sz w:val="20"/>
              </w:rPr>
              <w:t>569</w:t>
            </w:r>
          </w:p>
        </w:tc>
        <w:tc>
          <w:tcPr>
            <w:tcW w:w="1655" w:type="dxa"/>
            <w:tcBorders/>
            <w:shd w:fill="FFFFFF" w:val="clear"/>
            <w:vAlign w:val="center"/>
          </w:tcPr>
          <w:p>
            <w:pPr>
              <w:pStyle w:val="TableContents"/>
              <w:bidi w:val="0"/>
              <w:spacing w:before="0" w:after="283"/>
              <w:jc w:val="right"/>
              <w:rPr>
                <w:sz w:val="20"/>
              </w:rPr>
            </w:pPr>
            <w:r>
              <w:rPr>
                <w:sz w:val="20"/>
              </w:rPr>
              <w:t>-</w:t>
            </w:r>
          </w:p>
        </w:tc>
      </w:tr>
      <w:tr>
        <w:trPr/>
        <w:tc>
          <w:tcPr>
            <w:tcW w:w="2420" w:type="dxa"/>
            <w:tcBorders/>
            <w:shd w:fill="D5EAEA" w:val="clear"/>
            <w:vAlign w:val="center"/>
          </w:tcPr>
          <w:p>
            <w:pPr>
              <w:pStyle w:val="TableContents"/>
              <w:bidi w:val="0"/>
              <w:spacing w:before="0" w:after="283"/>
              <w:jc w:val="left"/>
              <w:rPr>
                <w:sz w:val="20"/>
              </w:rPr>
            </w:pPr>
            <w:r>
              <w:rPr>
                <w:sz w:val="20"/>
              </w:rPr>
              <w:t>Advances to customers</w:t>
            </w:r>
          </w:p>
        </w:tc>
        <w:tc>
          <w:tcPr>
            <w:tcW w:w="1190" w:type="dxa"/>
            <w:tcBorders/>
            <w:shd w:fill="D5EAEA" w:val="clear"/>
            <w:vAlign w:val="center"/>
          </w:tcPr>
          <w:p>
            <w:pPr>
              <w:pStyle w:val="TableContents"/>
              <w:bidi w:val="0"/>
              <w:spacing w:before="0" w:after="283"/>
              <w:jc w:val="right"/>
              <w:rPr>
                <w:sz w:val="20"/>
              </w:rPr>
            </w:pPr>
            <w:r>
              <w:rPr>
                <w:sz w:val="20"/>
              </w:rPr>
              <w:t>290</w:t>
            </w:r>
          </w:p>
        </w:tc>
        <w:tc>
          <w:tcPr>
            <w:tcW w:w="1655" w:type="dxa"/>
            <w:tcBorders/>
            <w:shd w:fill="D5EAEA" w:val="clear"/>
            <w:vAlign w:val="center"/>
          </w:tcPr>
          <w:p>
            <w:pPr>
              <w:pStyle w:val="TableContents"/>
              <w:bidi w:val="0"/>
              <w:spacing w:before="0" w:after="283"/>
              <w:jc w:val="right"/>
              <w:rPr>
                <w:sz w:val="20"/>
              </w:rPr>
            </w:pPr>
            <w:r>
              <w:rPr>
                <w:sz w:val="20"/>
              </w:rPr>
              <w:t>-</w:t>
            </w:r>
          </w:p>
        </w:tc>
      </w:tr>
      <w:tr>
        <w:trPr/>
        <w:tc>
          <w:tcPr>
            <w:tcW w:w="2420" w:type="dxa"/>
            <w:tcBorders/>
            <w:shd w:fill="FFFFFF" w:val="clear"/>
            <w:vAlign w:val="center"/>
          </w:tcPr>
          <w:p>
            <w:pPr>
              <w:pStyle w:val="TableContents"/>
              <w:bidi w:val="0"/>
              <w:spacing w:before="0" w:after="283"/>
              <w:jc w:val="left"/>
              <w:rPr>
                <w:sz w:val="20"/>
              </w:rPr>
            </w:pPr>
            <w:r>
              <w:rPr>
                <w:sz w:val="20"/>
              </w:rPr>
              <w:t xml:space="preserve">Other liabilities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223</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573</w:t>
            </w:r>
          </w:p>
        </w:tc>
      </w:tr>
      <w:tr>
        <w:trPr/>
        <w:tc>
          <w:tcPr>
            <w:tcW w:w="2420" w:type="dxa"/>
            <w:tcBorders/>
            <w:shd w:fill="D5EAEA" w:val="clear"/>
            <w:vAlign w:val="center"/>
          </w:tcPr>
          <w:p>
            <w:pPr>
              <w:pStyle w:val="TableContents"/>
              <w:bidi w:val="0"/>
              <w:spacing w:before="0" w:after="283"/>
              <w:jc w:val="left"/>
              <w:rPr>
                <w:b/>
                <w:sz w:val="20"/>
              </w:rPr>
            </w:pPr>
            <w:r>
              <w:rPr>
                <w:b/>
                <w:sz w:val="20"/>
              </w:rPr>
              <w:t>Other current liabilities</w:t>
            </w:r>
          </w:p>
        </w:tc>
        <w:tc>
          <w:tcPr>
            <w:tcW w:w="1190"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247,760</w:t>
            </w:r>
          </w:p>
        </w:tc>
        <w:tc>
          <w:tcPr>
            <w:tcW w:w="165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63,747</w:t>
            </w:r>
          </w:p>
        </w:tc>
      </w:tr>
      <w:tr>
        <w:trPr/>
        <w:tc>
          <w:tcPr>
            <w:tcW w:w="242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1655" w:type="dxa"/>
            <w:tcBorders/>
            <w:shd w:fill="FFFFFF" w:val="clear"/>
            <w:vAlign w:val="center"/>
          </w:tcPr>
          <w:p>
            <w:pPr>
              <w:pStyle w:val="TableContents"/>
              <w:bidi w:val="0"/>
              <w:spacing w:before="0" w:after="283"/>
              <w:jc w:val="right"/>
              <w:rPr/>
            </w:pPr>
            <w:r>
              <w:rPr/>
              <w:t> </w:t>
            </w:r>
          </w:p>
        </w:tc>
      </w:tr>
      <w:tr>
        <w:trPr/>
        <w:tc>
          <w:tcPr>
            <w:tcW w:w="2420" w:type="dxa"/>
            <w:tcBorders/>
            <w:shd w:fill="D5EAEA" w:val="clear"/>
            <w:vAlign w:val="center"/>
          </w:tcPr>
          <w:p>
            <w:pPr>
              <w:pStyle w:val="TableContents"/>
              <w:bidi w:val="0"/>
              <w:spacing w:before="0" w:after="283"/>
              <w:jc w:val="left"/>
              <w:rPr>
                <w:sz w:val="20"/>
              </w:rPr>
            </w:pPr>
            <w:r>
              <w:rPr>
                <w:sz w:val="20"/>
              </w:rPr>
              <w:t>Asset-backed payable (c)</w:t>
            </w:r>
          </w:p>
        </w:tc>
        <w:tc>
          <w:tcPr>
            <w:tcW w:w="1190" w:type="dxa"/>
            <w:tcBorders/>
            <w:shd w:fill="D5EAEA" w:val="clear"/>
            <w:vAlign w:val="center"/>
          </w:tcPr>
          <w:p>
            <w:pPr>
              <w:pStyle w:val="TableContents"/>
              <w:bidi w:val="0"/>
              <w:spacing w:before="0" w:after="283"/>
              <w:jc w:val="right"/>
              <w:rPr>
                <w:sz w:val="20"/>
              </w:rPr>
            </w:pPr>
            <w:r>
              <w:rPr>
                <w:sz w:val="20"/>
              </w:rPr>
              <w:t>-</w:t>
            </w:r>
          </w:p>
        </w:tc>
        <w:tc>
          <w:tcPr>
            <w:tcW w:w="1655" w:type="dxa"/>
            <w:tcBorders/>
            <w:shd w:fill="D5EAEA" w:val="clear"/>
            <w:vAlign w:val="center"/>
          </w:tcPr>
          <w:p>
            <w:pPr>
              <w:pStyle w:val="TableContents"/>
              <w:bidi w:val="0"/>
              <w:spacing w:before="0" w:after="283"/>
              <w:jc w:val="right"/>
              <w:rPr>
                <w:sz w:val="20"/>
              </w:rPr>
            </w:pPr>
            <w:r>
              <w:rPr>
                <w:sz w:val="20"/>
              </w:rPr>
              <w:t>68,374</w:t>
            </w:r>
          </w:p>
        </w:tc>
      </w:tr>
      <w:tr>
        <w:trPr/>
        <w:tc>
          <w:tcPr>
            <w:tcW w:w="2420" w:type="dxa"/>
            <w:tcBorders/>
            <w:shd w:fill="FFFFFF" w:val="clear"/>
            <w:vAlign w:val="center"/>
          </w:tcPr>
          <w:p>
            <w:pPr>
              <w:pStyle w:val="TableContents"/>
              <w:bidi w:val="0"/>
              <w:spacing w:before="0" w:after="283"/>
              <w:jc w:val="left"/>
              <w:rPr>
                <w:sz w:val="20"/>
              </w:rPr>
            </w:pPr>
            <w:r>
              <w:rPr>
                <w:sz w:val="20"/>
              </w:rPr>
              <w:t>Lease liabilities (b)</w:t>
            </w:r>
          </w:p>
        </w:tc>
        <w:tc>
          <w:tcPr>
            <w:tcW w:w="1190" w:type="dxa"/>
            <w:tcBorders/>
            <w:shd w:fill="FFFFFF" w:val="clear"/>
            <w:vAlign w:val="center"/>
          </w:tcPr>
          <w:p>
            <w:pPr>
              <w:pStyle w:val="TableContents"/>
              <w:bidi w:val="0"/>
              <w:spacing w:before="0" w:after="283"/>
              <w:jc w:val="right"/>
              <w:rPr>
                <w:sz w:val="20"/>
              </w:rPr>
            </w:pPr>
            <w:r>
              <w:rPr>
                <w:sz w:val="20"/>
              </w:rPr>
              <w:t>18,734</w:t>
            </w:r>
          </w:p>
        </w:tc>
        <w:tc>
          <w:tcPr>
            <w:tcW w:w="1655" w:type="dxa"/>
            <w:tcBorders/>
            <w:shd w:fill="FFFFFF" w:val="clear"/>
            <w:vAlign w:val="center"/>
          </w:tcPr>
          <w:p>
            <w:pPr>
              <w:pStyle w:val="TableContents"/>
              <w:bidi w:val="0"/>
              <w:spacing w:before="0" w:after="283"/>
              <w:jc w:val="right"/>
              <w:rPr>
                <w:sz w:val="20"/>
              </w:rPr>
            </w:pPr>
            <w:r>
              <w:rPr>
                <w:sz w:val="20"/>
              </w:rPr>
              <w:t>19,483</w:t>
            </w:r>
          </w:p>
        </w:tc>
      </w:tr>
      <w:tr>
        <w:trPr/>
        <w:tc>
          <w:tcPr>
            <w:tcW w:w="2420" w:type="dxa"/>
            <w:tcBorders/>
            <w:shd w:fill="D5EAEA" w:val="clear"/>
            <w:vAlign w:val="center"/>
          </w:tcPr>
          <w:p>
            <w:pPr>
              <w:pStyle w:val="TableContents"/>
              <w:bidi w:val="0"/>
              <w:spacing w:before="0" w:after="283"/>
              <w:jc w:val="left"/>
              <w:rPr>
                <w:sz w:val="20"/>
              </w:rPr>
            </w:pPr>
            <w:r>
              <w:rPr>
                <w:sz w:val="20"/>
              </w:rPr>
              <w:t>Other liabilities</w:t>
            </w:r>
          </w:p>
        </w:tc>
        <w:tc>
          <w:tcPr>
            <w:tcW w:w="1190" w:type="dxa"/>
            <w:tcBorders/>
            <w:shd w:fill="D5EAEA" w:val="clear"/>
            <w:vAlign w:val="center"/>
          </w:tcPr>
          <w:p>
            <w:pPr>
              <w:pStyle w:val="TableContents"/>
              <w:bidi w:val="0"/>
              <w:spacing w:before="0" w:after="283"/>
              <w:jc w:val="right"/>
              <w:rPr>
                <w:sz w:val="20"/>
              </w:rPr>
            </w:pPr>
            <w:r>
              <w:rPr>
                <w:sz w:val="20"/>
              </w:rPr>
              <w:t>120</w:t>
            </w:r>
          </w:p>
        </w:tc>
        <w:tc>
          <w:tcPr>
            <w:tcW w:w="1655" w:type="dxa"/>
            <w:tcBorders/>
            <w:shd w:fill="D5EAEA" w:val="clear"/>
            <w:vAlign w:val="center"/>
          </w:tcPr>
          <w:p>
            <w:pPr>
              <w:pStyle w:val="TableContents"/>
              <w:bidi w:val="0"/>
              <w:spacing w:before="0" w:after="283"/>
              <w:jc w:val="right"/>
              <w:rPr>
                <w:sz w:val="20"/>
              </w:rPr>
            </w:pPr>
            <w:r>
              <w:rPr>
                <w:sz w:val="20"/>
              </w:rPr>
              <w:t>268</w:t>
            </w:r>
          </w:p>
        </w:tc>
      </w:tr>
      <w:tr>
        <w:trPr/>
        <w:tc>
          <w:tcPr>
            <w:tcW w:w="2420" w:type="dxa"/>
            <w:tcBorders/>
            <w:shd w:fill="FFFFFF" w:val="clear"/>
            <w:vAlign w:val="center"/>
          </w:tcPr>
          <w:p>
            <w:pPr>
              <w:pStyle w:val="TableContents"/>
              <w:bidi w:val="0"/>
              <w:spacing w:before="0" w:after="283"/>
              <w:jc w:val="left"/>
              <w:rPr>
                <w:b/>
                <w:sz w:val="20"/>
              </w:rPr>
            </w:pPr>
            <w:r>
              <w:rPr>
                <w:b/>
                <w:sz w:val="20"/>
              </w:rPr>
              <w:t>Other non-current liabilities</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18,854</w:t>
            </w:r>
          </w:p>
        </w:tc>
        <w:tc>
          <w:tcPr>
            <w:tcW w:w="165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88,125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283"/>
              <w:jc w:val="both"/>
              <w:rPr/>
            </w:pPr>
            <w:r>
              <w:rPr/>
              <w:t>The supplier balance for June 30, 2026, includes US$ 150 million for Tria due to increased energy trading.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The Company is the lessee in lease agreements for which the underlying assets are the office spaces located in Grand Cayman, Bogotá, London, New York, Montevideo, Santiago, São Paulo and Medellín as disclosed in note 21(a).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(c)</w:t>
            </w:r>
          </w:p>
        </w:tc>
        <w:tc>
          <w:tcPr>
            <w:tcW w:w="9954" w:type="dxa"/>
            <w:tcBorders/>
            <w:vAlign w:val="center"/>
          </w:tcPr>
          <w:p>
            <w:pPr>
              <w:pStyle w:val="TableContents"/>
              <w:bidi w:val="0"/>
              <w:spacing w:before="0" w:after="283"/>
              <w:jc w:val="both"/>
              <w:rPr/>
            </w:pPr>
            <w:r>
              <w:rPr/>
              <w:t>The Company entered into an agreement with a financial institution selling US$75.0 million accounts receivable from PBPE Fund IV at a discounted amount of US$66.9 million (refer to Note 8(b) in these condensed consolidated interim financial statements) and incurred an agreement fee of US$0.7 million. The selling price of US$66.9 million is accounted for at amortized cost and discounted at an effective interest rate of 6.08% per annum. The liability is to be settled by June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t>Unearned revenue represents management fees invoiced where the payment has been received in advance. Management fees are recognized in the condensed consolidated statement of income when the services are provided.</w:t>
            </w:r>
          </w:p>
        </w:tc>
      </w:tr>
    </w:tbl>
    <w:p>
      <w:pPr>
        <w:pStyle w:val="TextBody"/>
        <w:bidi w:val="0"/>
        <w:spacing w:before="0" w:after="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283"/>
              <w:jc w:val="left"/>
              <w:rPr/>
            </w:pPr>
            <w:r>
              <w:rPr/>
              <w:t>19.</w:t>
            </w:r>
          </w:p>
        </w:tc>
        <w:tc>
          <w:tcPr>
            <w:tcW w:w="1415" w:type="dxa"/>
            <w:tcBorders/>
            <w:vAlign w:val="center"/>
          </w:tcPr>
          <w:p>
            <w:pPr>
              <w:pStyle w:val="TableContents"/>
              <w:bidi w:val="0"/>
              <w:spacing w:before="0" w:after="283"/>
              <w:jc w:val="left"/>
              <w:rPr/>
            </w:pPr>
            <w:r>
              <w:rPr/>
              <w:t>Deferred taxes</w:t>
            </w:r>
          </w:p>
        </w:tc>
      </w:tr>
    </w:tbl>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40" w:type="dxa"/>
          <w:bottom w:w="28" w:type="dxa"/>
          <w:right w:w="40" w:type="dxa"/>
        </w:tblCellMar>
      </w:tblPr>
      <w:tblGrid>
        <w:gridCol w:w="1864"/>
        <w:gridCol w:w="1009"/>
        <w:gridCol w:w="706"/>
        <w:gridCol w:w="882"/>
        <w:gridCol w:w="837"/>
        <w:gridCol w:w="745"/>
        <w:gridCol w:w="1009"/>
        <w:gridCol w:w="669"/>
        <w:gridCol w:w="882"/>
        <w:gridCol w:w="837"/>
        <w:gridCol w:w="765"/>
      </w:tblGrid>
      <w:tr>
        <w:trPr/>
        <w:tc>
          <w:tcPr>
            <w:tcW w:w="1864"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i/>
                <w:sz w:val="20"/>
              </w:rPr>
            </w:pPr>
            <w:r>
              <w:rPr>
                <w:b/>
                <w:i/>
                <w:sz w:val="20"/>
              </w:rPr>
              <w:t>Temporary differences</w:t>
            </w:r>
          </w:p>
        </w:tc>
        <w:tc>
          <w:tcPr>
            <w:tcW w:w="1009"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December 31, 2024</w:t>
            </w:r>
          </w:p>
        </w:tc>
        <w:tc>
          <w:tcPr>
            <w:tcW w:w="2425"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(Charged)/credited</w:t>
            </w:r>
          </w:p>
        </w:tc>
        <w:tc>
          <w:tcPr>
            <w:tcW w:w="74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b/>
                <w:sz w:val="20"/>
              </w:rPr>
            </w:pPr>
            <w:r>
              <w:rPr>
                <w:b/>
                <w:sz w:val="20"/>
              </w:rPr>
              <w:t>June 30, 2025</w:t>
            </w:r>
          </w:p>
        </w:tc>
        <w:tc>
          <w:tcPr>
            <w:tcW w:w="1009"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b/>
                <w:sz w:val="20"/>
              </w:rPr>
            </w:pPr>
            <w:r>
              <w:rPr>
                <w:b/>
                <w:sz w:val="20"/>
              </w:rPr>
              <w:t>December 31, 2025</w:t>
            </w:r>
          </w:p>
        </w:tc>
        <w:tc>
          <w:tcPr>
            <w:tcW w:w="238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sz w:val="20"/>
              </w:rPr>
            </w:pPr>
            <w:r>
              <w:rPr>
                <w:sz w:val="20"/>
              </w:rPr>
              <w:t>(Charged)/credited</w:t>
            </w:r>
          </w:p>
        </w:tc>
        <w:tc>
          <w:tcPr>
            <w:tcW w:w="76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b/>
                <w:sz w:val="20"/>
              </w:rPr>
            </w:pPr>
            <w:r>
              <w:rPr>
                <w:b/>
                <w:sz w:val="20"/>
              </w:rPr>
              <w:t>June 30, 2026</w:t>
            </w:r>
          </w:p>
        </w:tc>
      </w:tr>
      <w:tr>
        <w:trPr/>
        <w:tc>
          <w:tcPr>
            <w:tcW w:w="1864"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1009"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706"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to profit or loss</w:t>
            </w:r>
          </w:p>
        </w:tc>
        <w:tc>
          <w:tcPr>
            <w:tcW w:w="882"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directly to equity / CTA</w:t>
            </w:r>
          </w:p>
        </w:tc>
        <w:tc>
          <w:tcPr>
            <w:tcW w:w="8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to goodwill (c)</w:t>
            </w:r>
          </w:p>
        </w:tc>
        <w:tc>
          <w:tcPr>
            <w:tcW w:w="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to profit or loss</w:t>
            </w:r>
          </w:p>
        </w:tc>
        <w:tc>
          <w:tcPr>
            <w:tcW w:w="882"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directly to equity / CTA</w:t>
            </w:r>
          </w:p>
        </w:tc>
        <w:tc>
          <w:tcPr>
            <w:tcW w:w="8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to goodwill (c)</w:t>
            </w:r>
          </w:p>
        </w:tc>
        <w:tc>
          <w:tcPr>
            <w:tcW w:w="7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864"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1009"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tcMar>
              <w:top w:w="0" w:type="dxa"/>
              <w:left w:w="0" w:type="dxa"/>
              <w:bottom w:w="0" w:type="dxa"/>
              <w:right w:w="0" w:type="dxa"/>
            </w:tcMar>
            <w:vAlign w:val="center"/>
          </w:tcPr>
          <w:p>
            <w:pPr>
              <w:pStyle w:val="TableContents"/>
              <w:bidi w:val="0"/>
              <w:spacing w:before="0" w:after="283"/>
              <w:jc w:val="right"/>
              <w:rPr/>
            </w:pPr>
            <w:r>
              <w:rPr/>
              <w:t> </w:t>
            </w:r>
          </w:p>
        </w:tc>
        <w:tc>
          <w:tcPr>
            <w:tcW w:w="837"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745"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1009"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tcMar>
              <w:top w:w="0" w:type="dxa"/>
              <w:left w:w="0" w:type="dxa"/>
              <w:bottom w:w="0" w:type="dxa"/>
              <w:right w:w="0" w:type="dxa"/>
            </w:tcMar>
            <w:vAlign w:val="center"/>
          </w:tcPr>
          <w:p>
            <w:pPr>
              <w:pStyle w:val="TableContents"/>
              <w:bidi w:val="0"/>
              <w:spacing w:before="0" w:after="283"/>
              <w:jc w:val="right"/>
              <w:rPr/>
            </w:pPr>
            <w:r>
              <w:rPr/>
              <w:t> </w:t>
            </w:r>
          </w:p>
        </w:tc>
        <w:tc>
          <w:tcPr>
            <w:tcW w:w="837"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765"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r>
      <w:tr>
        <w:trPr/>
        <w:tc>
          <w:tcPr>
            <w:tcW w:w="1864" w:type="dxa"/>
            <w:tcBorders>
              <w:left w:val="single" w:sz="8" w:space="0" w:color="000000"/>
              <w:right w:val="single" w:sz="8" w:space="0" w:color="000000"/>
            </w:tcBorders>
            <w:shd w:fill="D5EAEA" w:val="clear"/>
            <w:tcMar>
              <w:top w:w="0" w:type="dxa"/>
              <w:bottom w:w="0" w:type="dxa"/>
            </w:tcMar>
            <w:vAlign w:val="center"/>
          </w:tcPr>
          <w:p>
            <w:pPr>
              <w:pStyle w:val="TableContents"/>
              <w:bidi w:val="0"/>
              <w:spacing w:before="0" w:after="283"/>
              <w:jc w:val="left"/>
              <w:rPr>
                <w:sz w:val="20"/>
              </w:rPr>
            </w:pPr>
            <w:r>
              <w:rPr>
                <w:sz w:val="20"/>
              </w:rPr>
              <w:t>Derivative options</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 xml:space="preserve">- </w:t>
            </w:r>
          </w:p>
        </w:tc>
        <w:tc>
          <w:tcPr>
            <w:tcW w:w="706"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 xml:space="preserve">- </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 xml:space="preserve">- </w:t>
            </w:r>
          </w:p>
        </w:tc>
        <w:tc>
          <w:tcPr>
            <w:tcW w:w="669"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6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 xml:space="preserve">- </w:t>
            </w:r>
          </w:p>
        </w:tc>
      </w:tr>
      <w:tr>
        <w:trPr/>
        <w:tc>
          <w:tcPr>
            <w:tcW w:w="1864"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20"/>
              </w:rPr>
            </w:pPr>
            <w:r>
              <w:rPr>
                <w:sz w:val="20"/>
              </w:rPr>
              <w:t xml:space="preserve">Employee profit sharing provision and other personnel accruals </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6,756</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(2,286)</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685</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5,155</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6,270</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(2,247)</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348</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4,371</w:t>
            </w:r>
          </w:p>
        </w:tc>
      </w:tr>
      <w:tr>
        <w:trPr/>
        <w:tc>
          <w:tcPr>
            <w:tcW w:w="1864" w:type="dxa"/>
            <w:tcBorders>
              <w:left w:val="single" w:sz="8" w:space="0" w:color="000000"/>
              <w:right w:val="single" w:sz="8" w:space="0" w:color="000000"/>
            </w:tcBorders>
            <w:shd w:fill="D5EAEA" w:val="clear"/>
            <w:tcMar>
              <w:top w:w="0" w:type="dxa"/>
              <w:bottom w:w="0" w:type="dxa"/>
            </w:tcMar>
            <w:vAlign w:val="center"/>
          </w:tcPr>
          <w:p>
            <w:pPr>
              <w:pStyle w:val="TableContents"/>
              <w:bidi w:val="0"/>
              <w:spacing w:before="0" w:after="283"/>
              <w:jc w:val="left"/>
              <w:rPr>
                <w:sz w:val="20"/>
              </w:rPr>
            </w:pPr>
            <w:r>
              <w:rPr>
                <w:sz w:val="20"/>
              </w:rPr>
              <w:t xml:space="preserve">Intangible assets from business combinations </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1,777</w:t>
            </w:r>
          </w:p>
        </w:tc>
        <w:tc>
          <w:tcPr>
            <w:tcW w:w="706"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11,630</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1,823</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sz w:val="20"/>
              </w:rPr>
            </w:pPr>
            <w:r>
              <w:rPr>
                <w:sz w:val="20"/>
              </w:rPr>
              <w:t>(58,230)</w:t>
            </w:r>
          </w:p>
        </w:tc>
        <w:tc>
          <w:tcPr>
            <w:tcW w:w="74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(43,000)</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(42,561)</w:t>
            </w:r>
          </w:p>
        </w:tc>
        <w:tc>
          <w:tcPr>
            <w:tcW w:w="669"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2,909</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101</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sz w:val="20"/>
              </w:rPr>
            </w:pPr>
            <w:r>
              <w:rPr>
                <w:sz w:val="20"/>
              </w:rPr>
              <w:t>(9,327)</w:t>
            </w:r>
          </w:p>
        </w:tc>
        <w:tc>
          <w:tcPr>
            <w:tcW w:w="76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(48,878)</w:t>
            </w:r>
          </w:p>
        </w:tc>
      </w:tr>
      <w:tr>
        <w:trPr/>
        <w:tc>
          <w:tcPr>
            <w:tcW w:w="1864"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20"/>
              </w:rPr>
            </w:pPr>
            <w:r>
              <w:rPr>
                <w:sz w:val="20"/>
              </w:rPr>
              <w:t>Deferred consideration from business combinations</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650</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557</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115</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1,322</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615</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945</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21</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1,581</w:t>
            </w:r>
          </w:p>
        </w:tc>
      </w:tr>
      <w:tr>
        <w:trPr/>
        <w:tc>
          <w:tcPr>
            <w:tcW w:w="1864" w:type="dxa"/>
            <w:tcBorders>
              <w:left w:val="single" w:sz="8" w:space="0" w:color="000000"/>
              <w:right w:val="single" w:sz="8" w:space="0" w:color="000000"/>
            </w:tcBorders>
            <w:shd w:fill="D5EAEA" w:val="clear"/>
            <w:tcMar>
              <w:top w:w="0" w:type="dxa"/>
              <w:bottom w:w="0" w:type="dxa"/>
            </w:tcMar>
            <w:vAlign w:val="center"/>
          </w:tcPr>
          <w:p>
            <w:pPr>
              <w:pStyle w:val="TableContents"/>
              <w:bidi w:val="0"/>
              <w:spacing w:before="0" w:after="283"/>
              <w:jc w:val="left"/>
              <w:rPr>
                <w:sz w:val="20"/>
              </w:rPr>
            </w:pPr>
            <w:r>
              <w:rPr>
                <w:sz w:val="20"/>
              </w:rPr>
              <w:t>Price adjustment from business combination</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06"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669"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1,815</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238</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sz w:val="20"/>
              </w:rPr>
            </w:pPr>
            <w:r>
              <w:rPr>
                <w:sz w:val="20"/>
              </w:rPr>
              <w:t>-</w:t>
            </w:r>
          </w:p>
        </w:tc>
        <w:tc>
          <w:tcPr>
            <w:tcW w:w="76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2,053</w:t>
            </w:r>
          </w:p>
        </w:tc>
      </w:tr>
      <w:tr>
        <w:trPr/>
        <w:tc>
          <w:tcPr>
            <w:tcW w:w="1864"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20"/>
              </w:rPr>
            </w:pPr>
            <w:r>
              <w:rPr>
                <w:sz w:val="20"/>
              </w:rPr>
              <w:t xml:space="preserve">Contingent consideration payable </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4,818</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649</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5,467</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5,469</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179</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(260)</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sz w:val="20"/>
              </w:rPr>
            </w:pPr>
            <w:r>
              <w:rPr>
                <w:sz w:val="20"/>
              </w:rPr>
              <w:t>-</w:t>
            </w:r>
          </w:p>
        </w:tc>
        <w:tc>
          <w:tcPr>
            <w:tcW w:w="7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5,388</w:t>
            </w:r>
          </w:p>
        </w:tc>
      </w:tr>
      <w:tr>
        <w:trPr/>
        <w:tc>
          <w:tcPr>
            <w:tcW w:w="1864" w:type="dxa"/>
            <w:tcBorders>
              <w:left w:val="single" w:sz="8" w:space="0" w:color="000000"/>
              <w:right w:val="single" w:sz="8" w:space="0" w:color="000000"/>
            </w:tcBorders>
            <w:shd w:fill="D5EAEA" w:val="clear"/>
            <w:tcMar>
              <w:top w:w="0" w:type="dxa"/>
              <w:bottom w:w="0" w:type="dxa"/>
            </w:tcMar>
            <w:vAlign w:val="center"/>
          </w:tcPr>
          <w:p>
            <w:pPr>
              <w:pStyle w:val="TableContents"/>
              <w:bidi w:val="0"/>
              <w:spacing w:before="0" w:after="283"/>
              <w:jc w:val="left"/>
              <w:rPr>
                <w:sz w:val="20"/>
              </w:rPr>
            </w:pPr>
            <w:r>
              <w:rPr>
                <w:sz w:val="20"/>
              </w:rPr>
              <w:t>Tax losses (a)</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1,946</w:t>
            </w:r>
          </w:p>
        </w:tc>
        <w:tc>
          <w:tcPr>
            <w:tcW w:w="706"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(3)</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214</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2,157</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2,158</w:t>
            </w:r>
          </w:p>
        </w:tc>
        <w:tc>
          <w:tcPr>
            <w:tcW w:w="669"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2,620</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71</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sz w:val="20"/>
              </w:rPr>
            </w:pPr>
            <w:r>
              <w:rPr>
                <w:sz w:val="20"/>
              </w:rPr>
              <w:t>835</w:t>
            </w:r>
          </w:p>
        </w:tc>
        <w:tc>
          <w:tcPr>
            <w:tcW w:w="76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5,684</w:t>
            </w:r>
          </w:p>
        </w:tc>
      </w:tr>
      <w:tr>
        <w:trPr/>
        <w:tc>
          <w:tcPr>
            <w:tcW w:w="1864"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20"/>
              </w:rPr>
            </w:pPr>
            <w:r>
              <w:rPr>
                <w:sz w:val="20"/>
              </w:rPr>
              <w:t>Tax on Accrual for expenses</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581</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55</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56</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692</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2,416</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1,877</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(1,862)</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2,431</w:t>
            </w:r>
          </w:p>
        </w:tc>
      </w:tr>
      <w:tr>
        <w:trPr/>
        <w:tc>
          <w:tcPr>
            <w:tcW w:w="1864" w:type="dxa"/>
            <w:tcBorders>
              <w:left w:val="single" w:sz="8" w:space="0" w:color="000000"/>
              <w:right w:val="single" w:sz="8" w:space="0" w:color="000000"/>
            </w:tcBorders>
            <w:shd w:fill="D5EAEA" w:val="clear"/>
            <w:tcMar>
              <w:top w:w="0" w:type="dxa"/>
              <w:bottom w:w="0" w:type="dxa"/>
            </w:tcMar>
            <w:vAlign w:val="center"/>
          </w:tcPr>
          <w:p>
            <w:pPr>
              <w:pStyle w:val="TableContents"/>
              <w:bidi w:val="0"/>
              <w:spacing w:before="0" w:after="283"/>
              <w:jc w:val="left"/>
              <w:rPr>
                <w:sz w:val="20"/>
              </w:rPr>
            </w:pPr>
            <w:r>
              <w:rPr>
                <w:sz w:val="20"/>
              </w:rPr>
              <w:t>Tax depreciation of fixed assets</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(272)</w:t>
            </w:r>
          </w:p>
        </w:tc>
        <w:tc>
          <w:tcPr>
            <w:tcW w:w="706"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(57)</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(22)</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(351)</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(352)</w:t>
            </w:r>
          </w:p>
        </w:tc>
        <w:tc>
          <w:tcPr>
            <w:tcW w:w="669"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14</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8</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6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(330)</w:t>
            </w:r>
          </w:p>
        </w:tc>
      </w:tr>
      <w:tr>
        <w:trPr/>
        <w:tc>
          <w:tcPr>
            <w:tcW w:w="1864"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20"/>
              </w:rPr>
            </w:pPr>
            <w:r>
              <w:rPr>
                <w:sz w:val="20"/>
              </w:rPr>
              <w:t>Deferred tax on performance fees - IFRS 15</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(52)</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26</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(26)</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(1,059)</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763</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(52)</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(348)</w:t>
            </w:r>
          </w:p>
        </w:tc>
      </w:tr>
      <w:tr>
        <w:trPr/>
        <w:tc>
          <w:tcPr>
            <w:tcW w:w="1864" w:type="dxa"/>
            <w:tcBorders>
              <w:left w:val="single" w:sz="8" w:space="0" w:color="000000"/>
              <w:right w:val="single" w:sz="8" w:space="0" w:color="000000"/>
            </w:tcBorders>
            <w:shd w:fill="D5EAEA" w:val="clear"/>
            <w:tcMar>
              <w:top w:w="0" w:type="dxa"/>
              <w:bottom w:w="0" w:type="dxa"/>
            </w:tcMar>
            <w:vAlign w:val="center"/>
          </w:tcPr>
          <w:p>
            <w:pPr>
              <w:pStyle w:val="TableContents"/>
              <w:bidi w:val="0"/>
              <w:spacing w:before="0" w:after="283"/>
              <w:jc w:val="left"/>
              <w:rPr>
                <w:sz w:val="20"/>
              </w:rPr>
            </w:pPr>
            <w:r>
              <w:rPr>
                <w:sz w:val="20"/>
              </w:rPr>
              <w:t>Gain from bargain purchase</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(64)</w:t>
            </w:r>
          </w:p>
        </w:tc>
        <w:tc>
          <w:tcPr>
            <w:tcW w:w="706"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17</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(4)</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(51)</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(60)</w:t>
            </w:r>
          </w:p>
        </w:tc>
        <w:tc>
          <w:tcPr>
            <w:tcW w:w="669"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6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(60)</w:t>
            </w:r>
          </w:p>
        </w:tc>
      </w:tr>
      <w:tr>
        <w:trPr/>
        <w:tc>
          <w:tcPr>
            <w:tcW w:w="1864"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20"/>
              </w:rPr>
            </w:pPr>
            <w:r>
              <w:rPr>
                <w:sz w:val="20"/>
              </w:rPr>
              <w:t>Fair value adjustment (b)</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(2,251)</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(1,358)</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(299)</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(3,908)</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(4,875)</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(3,456)</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(316)</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(8,647)</w:t>
            </w:r>
          </w:p>
        </w:tc>
      </w:tr>
      <w:tr>
        <w:trPr/>
        <w:tc>
          <w:tcPr>
            <w:tcW w:w="1864" w:type="dxa"/>
            <w:tcBorders>
              <w:left w:val="single" w:sz="8" w:space="0" w:color="000000"/>
              <w:right w:val="single" w:sz="8" w:space="0" w:color="000000"/>
            </w:tcBorders>
            <w:shd w:fill="D5EAEA" w:val="clear"/>
            <w:tcMar>
              <w:top w:w="0" w:type="dxa"/>
              <w:bottom w:w="0" w:type="dxa"/>
            </w:tcMar>
            <w:vAlign w:val="center"/>
          </w:tcPr>
          <w:p>
            <w:pPr>
              <w:pStyle w:val="TableContents"/>
              <w:bidi w:val="0"/>
              <w:spacing w:before="0" w:after="283"/>
              <w:jc w:val="left"/>
              <w:rPr>
                <w:sz w:val="20"/>
              </w:rPr>
            </w:pPr>
            <w:r>
              <w:rPr>
                <w:sz w:val="20"/>
              </w:rPr>
              <w:t xml:space="preserve">Impact of IFRS 16 </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166</w:t>
            </w:r>
          </w:p>
        </w:tc>
        <w:tc>
          <w:tcPr>
            <w:tcW w:w="706"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130</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25</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321</w:t>
            </w:r>
          </w:p>
        </w:tc>
        <w:tc>
          <w:tcPr>
            <w:tcW w:w="1009"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370</w:t>
            </w:r>
          </w:p>
        </w:tc>
        <w:tc>
          <w:tcPr>
            <w:tcW w:w="669"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(1)</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sz w:val="20"/>
              </w:rPr>
            </w:pPr>
            <w:r>
              <w:rPr>
                <w:sz w:val="20"/>
              </w:rPr>
              <w:t>13</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65"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b/>
                <w:sz w:val="20"/>
              </w:rPr>
            </w:pPr>
            <w:r>
              <w:rPr>
                <w:b/>
                <w:sz w:val="20"/>
              </w:rPr>
              <w:t>382</w:t>
            </w:r>
          </w:p>
        </w:tc>
      </w:tr>
      <w:tr>
        <w:trPr/>
        <w:tc>
          <w:tcPr>
            <w:tcW w:w="1864"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20"/>
              </w:rPr>
            </w:pPr>
            <w:r>
              <w:rPr>
                <w:sz w:val="20"/>
              </w:rPr>
              <w:t xml:space="preserve">Other </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(5)</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45</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2</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4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42</w:t>
            </w:r>
          </w:p>
        </w:tc>
        <w:tc>
          <w:tcPr>
            <w:tcW w:w="10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(5)</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(765)</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sz w:val="20"/>
              </w:rPr>
            </w:pPr>
            <w:r>
              <w:rPr>
                <w:sz w:val="20"/>
              </w:rPr>
              <w:t>(8)</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w:t>
            </w:r>
          </w:p>
        </w:tc>
        <w:tc>
          <w:tcPr>
            <w:tcW w:w="7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b/>
                <w:sz w:val="20"/>
              </w:rPr>
            </w:pPr>
            <w:r>
              <w:rPr>
                <w:b/>
                <w:sz w:val="20"/>
              </w:rPr>
              <w:t>(778)</w:t>
            </w:r>
          </w:p>
        </w:tc>
      </w:tr>
      <w:tr>
        <w:trPr/>
        <w:tc>
          <w:tcPr>
            <w:tcW w:w="1864" w:type="dxa"/>
            <w:tcBorders>
              <w:left w:val="single" w:sz="8" w:space="0" w:color="000000"/>
              <w:bottom w:val="single" w:sz="8" w:space="0" w:color="000000"/>
              <w:right w:val="single" w:sz="8" w:space="0" w:color="000000"/>
            </w:tcBorders>
            <w:shd w:fill="D5EAEA" w:val="clear"/>
            <w:tcMar>
              <w:top w:w="0" w:type="dxa"/>
            </w:tcMar>
            <w:vAlign w:val="center"/>
          </w:tcPr>
          <w:p>
            <w:pPr>
              <w:pStyle w:val="TableContents"/>
              <w:bidi w:val="0"/>
              <w:spacing w:before="0" w:after="283"/>
              <w:jc w:val="left"/>
              <w:rPr/>
            </w:pPr>
            <w:r>
              <w:rPr/>
              <w:t> </w:t>
            </w:r>
          </w:p>
        </w:tc>
        <w:tc>
          <w:tcPr>
            <w:tcW w:w="1009" w:type="dxa"/>
            <w:tcBorders>
              <w:bottom w:val="single" w:sz="8" w:space="0" w:color="000000"/>
              <w:right w:val="single" w:sz="8" w:space="0" w:color="000000"/>
            </w:tcBorders>
            <w:shd w:fill="D5EAEA" w:val="clear"/>
            <w:tcMar>
              <w:top w:w="0" w:type="dxa"/>
              <w:left w:w="0" w:type="dxa"/>
            </w:tcMar>
            <w:vAlign w:val="center"/>
          </w:tcPr>
          <w:p>
            <w:pPr>
              <w:pStyle w:val="TableContents"/>
              <w:bidi w:val="0"/>
              <w:spacing w:before="0" w:after="283"/>
              <w:jc w:val="right"/>
              <w:rPr/>
            </w:pPr>
            <w:r>
              <w:rPr/>
              <w:t> </w:t>
            </w:r>
          </w:p>
        </w:tc>
        <w:tc>
          <w:tcPr>
            <w:tcW w:w="706" w:type="dxa"/>
            <w:tcBorders>
              <w:bottom w:val="single" w:sz="8" w:space="0" w:color="000000"/>
            </w:tcBorders>
            <w:shd w:fill="D5EAEA" w:val="clear"/>
            <w:tcMar>
              <w:top w:w="0" w:type="dxa"/>
              <w:left w:w="0" w:type="dxa"/>
              <w:right w:w="0" w:type="dxa"/>
            </w:tcMar>
            <w:vAlign w:val="center"/>
          </w:tcPr>
          <w:p>
            <w:pPr>
              <w:pStyle w:val="TableContents"/>
              <w:bidi w:val="0"/>
              <w:spacing w:before="0" w:after="283"/>
              <w:jc w:val="right"/>
              <w:rPr/>
            </w:pPr>
            <w:r>
              <w:rPr/>
              <w:t> </w:t>
            </w:r>
          </w:p>
        </w:tc>
        <w:tc>
          <w:tcPr>
            <w:tcW w:w="882" w:type="dxa"/>
            <w:tcBorders>
              <w:bottom w:val="single" w:sz="8" w:space="0" w:color="000000"/>
            </w:tcBorders>
            <w:shd w:fill="D5EAEA" w:val="clear"/>
            <w:tcMar>
              <w:top w:w="0" w:type="dxa"/>
              <w:left w:w="0" w:type="dxa"/>
              <w:right w:w="0" w:type="dxa"/>
            </w:tcMar>
            <w:vAlign w:val="center"/>
          </w:tcPr>
          <w:p>
            <w:pPr>
              <w:pStyle w:val="TableContents"/>
              <w:bidi w:val="0"/>
              <w:spacing w:before="0" w:after="283"/>
              <w:jc w:val="right"/>
              <w:rPr/>
            </w:pPr>
            <w:r>
              <w:rPr/>
              <w:t> </w:t>
            </w:r>
          </w:p>
        </w:tc>
        <w:tc>
          <w:tcPr>
            <w:tcW w:w="837" w:type="dxa"/>
            <w:tcBorders>
              <w:bottom w:val="single" w:sz="8" w:space="0" w:color="000000"/>
              <w:right w:val="single" w:sz="8" w:space="0" w:color="000000"/>
            </w:tcBorders>
            <w:shd w:fill="D5EAEA" w:val="clear"/>
            <w:tcMar>
              <w:top w:w="0" w:type="dxa"/>
              <w:left w:w="0" w:type="dxa"/>
            </w:tcMar>
            <w:vAlign w:val="center"/>
          </w:tcPr>
          <w:p>
            <w:pPr>
              <w:pStyle w:val="TableContents"/>
              <w:bidi w:val="0"/>
              <w:spacing w:before="0" w:after="283"/>
              <w:jc w:val="right"/>
              <w:rPr/>
            </w:pPr>
            <w:r>
              <w:rPr/>
              <w:t> </w:t>
            </w:r>
          </w:p>
        </w:tc>
        <w:tc>
          <w:tcPr>
            <w:tcW w:w="745" w:type="dxa"/>
            <w:tcBorders>
              <w:bottom w:val="single" w:sz="8" w:space="0" w:color="000000"/>
              <w:right w:val="single" w:sz="8" w:space="0" w:color="000000"/>
            </w:tcBorders>
            <w:shd w:fill="D5EAEA" w:val="clear"/>
            <w:tcMar>
              <w:top w:w="0" w:type="dxa"/>
              <w:left w:w="0" w:type="dxa"/>
            </w:tcMar>
            <w:vAlign w:val="center"/>
          </w:tcPr>
          <w:p>
            <w:pPr>
              <w:pStyle w:val="TableContents"/>
              <w:bidi w:val="0"/>
              <w:spacing w:before="0" w:after="283"/>
              <w:jc w:val="right"/>
              <w:rPr/>
            </w:pPr>
            <w:r>
              <w:rPr/>
              <w:t> </w:t>
            </w:r>
          </w:p>
        </w:tc>
        <w:tc>
          <w:tcPr>
            <w:tcW w:w="1009" w:type="dxa"/>
            <w:tcBorders>
              <w:bottom w:val="single" w:sz="8" w:space="0" w:color="000000"/>
              <w:right w:val="single" w:sz="8" w:space="0" w:color="000000"/>
            </w:tcBorders>
            <w:shd w:fill="D5EAEA" w:val="clear"/>
            <w:tcMar>
              <w:top w:w="0" w:type="dxa"/>
              <w:left w:w="0" w:type="dxa"/>
            </w:tcMar>
            <w:vAlign w:val="center"/>
          </w:tcPr>
          <w:p>
            <w:pPr>
              <w:pStyle w:val="TableContents"/>
              <w:bidi w:val="0"/>
              <w:spacing w:before="0" w:after="283"/>
              <w:jc w:val="right"/>
              <w:rPr/>
            </w:pPr>
            <w:r>
              <w:rPr/>
              <w:t> </w:t>
            </w:r>
          </w:p>
        </w:tc>
        <w:tc>
          <w:tcPr>
            <w:tcW w:w="669" w:type="dxa"/>
            <w:tcBorders>
              <w:bottom w:val="single" w:sz="8" w:space="0" w:color="000000"/>
            </w:tcBorders>
            <w:shd w:fill="D5EAEA" w:val="clear"/>
            <w:tcMar>
              <w:top w:w="0" w:type="dxa"/>
              <w:left w:w="0" w:type="dxa"/>
              <w:right w:w="0" w:type="dxa"/>
            </w:tcMar>
            <w:vAlign w:val="center"/>
          </w:tcPr>
          <w:p>
            <w:pPr>
              <w:pStyle w:val="TableContents"/>
              <w:bidi w:val="0"/>
              <w:spacing w:before="0" w:after="283"/>
              <w:jc w:val="right"/>
              <w:rPr/>
            </w:pPr>
            <w:r>
              <w:rPr/>
              <w:t> </w:t>
            </w:r>
          </w:p>
        </w:tc>
        <w:tc>
          <w:tcPr>
            <w:tcW w:w="882" w:type="dxa"/>
            <w:tcBorders>
              <w:bottom w:val="single" w:sz="8" w:space="0" w:color="000000"/>
            </w:tcBorders>
            <w:shd w:fill="D5EAEA" w:val="clear"/>
            <w:tcMar>
              <w:top w:w="0" w:type="dxa"/>
              <w:left w:w="0" w:type="dxa"/>
              <w:right w:w="0" w:type="dxa"/>
            </w:tcMar>
            <w:vAlign w:val="center"/>
          </w:tcPr>
          <w:p>
            <w:pPr>
              <w:pStyle w:val="TableContents"/>
              <w:bidi w:val="0"/>
              <w:spacing w:before="0" w:after="283"/>
              <w:jc w:val="right"/>
              <w:rPr/>
            </w:pPr>
            <w:r>
              <w:rPr/>
              <w:t> </w:t>
            </w:r>
          </w:p>
        </w:tc>
        <w:tc>
          <w:tcPr>
            <w:tcW w:w="837" w:type="dxa"/>
            <w:tcBorders>
              <w:bottom w:val="single" w:sz="8" w:space="0" w:color="000000"/>
              <w:right w:val="single" w:sz="8" w:space="0" w:color="000000"/>
            </w:tcBorders>
            <w:shd w:fill="D5EAEA" w:val="clear"/>
            <w:tcMar>
              <w:top w:w="0" w:type="dxa"/>
              <w:left w:w="0" w:type="dxa"/>
            </w:tcMar>
            <w:vAlign w:val="center"/>
          </w:tcPr>
          <w:p>
            <w:pPr>
              <w:pStyle w:val="TableContents"/>
              <w:bidi w:val="0"/>
              <w:spacing w:before="0" w:after="283"/>
              <w:jc w:val="right"/>
              <w:rPr/>
            </w:pPr>
            <w:r>
              <w:rPr/>
              <w:t> </w:t>
            </w:r>
          </w:p>
        </w:tc>
        <w:tc>
          <w:tcPr>
            <w:tcW w:w="765" w:type="dxa"/>
            <w:tcBorders>
              <w:bottom w:val="single" w:sz="8" w:space="0" w:color="000000"/>
              <w:right w:val="single" w:sz="8" w:space="0" w:color="000000"/>
            </w:tcBorders>
            <w:shd w:fill="D5EAEA" w:val="clear"/>
            <w:tcMar>
              <w:top w:w="0" w:type="dxa"/>
              <w:left w:w="0" w:type="dxa"/>
            </w:tcMar>
            <w:vAlign w:val="center"/>
          </w:tcPr>
          <w:p>
            <w:pPr>
              <w:pStyle w:val="TableContents"/>
              <w:bidi w:val="0"/>
              <w:spacing w:before="0" w:after="283"/>
              <w:jc w:val="right"/>
              <w:rPr/>
            </w:pPr>
            <w:r>
              <w:rPr/>
              <w:t> </w:t>
            </w:r>
          </w:p>
        </w:tc>
      </w:tr>
      <w:tr>
        <w:trPr/>
        <w:tc>
          <w:tcPr>
            <w:tcW w:w="186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b/>
                <w:sz w:val="20"/>
              </w:rPr>
            </w:pPr>
            <w:r>
              <w:rPr>
                <w:b/>
                <w:sz w:val="20"/>
              </w:rPr>
              <w:t>Net deferred tax balance</w:t>
            </w:r>
          </w:p>
        </w:tc>
        <w:tc>
          <w:tcPr>
            <w:tcW w:w="100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b/>
                <w:sz w:val="20"/>
              </w:rPr>
            </w:pPr>
            <w:r>
              <w:rPr>
                <w:b/>
                <w:sz w:val="20"/>
              </w:rPr>
              <w:t>14,050</w:t>
            </w:r>
          </w:p>
        </w:tc>
        <w:tc>
          <w:tcPr>
            <w:tcW w:w="7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b/>
                <w:sz w:val="20"/>
              </w:rPr>
            </w:pPr>
            <w:r>
              <w:rPr>
                <w:b/>
                <w:sz w:val="20"/>
              </w:rPr>
              <w:t>8,730</w:t>
            </w:r>
          </w:p>
        </w:tc>
        <w:tc>
          <w:tcPr>
            <w:tcW w:w="88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b/>
                <w:sz w:val="20"/>
              </w:rPr>
            </w:pPr>
            <w:r>
              <w:rPr>
                <w:b/>
                <w:sz w:val="20"/>
              </w:rPr>
              <w:t>3,270</w:t>
            </w:r>
          </w:p>
        </w:tc>
        <w:tc>
          <w:tcPr>
            <w:tcW w:w="8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b/>
                <w:sz w:val="20"/>
              </w:rPr>
            </w:pPr>
            <w:r>
              <w:rPr>
                <w:b/>
                <w:sz w:val="20"/>
              </w:rPr>
              <w:t>(58,230)</w:t>
            </w:r>
          </w:p>
        </w:tc>
        <w:tc>
          <w:tcPr>
            <w:tcW w:w="74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b/>
                <w:sz w:val="20"/>
              </w:rPr>
            </w:pPr>
            <w:r>
              <w:rPr>
                <w:b/>
                <w:sz w:val="20"/>
              </w:rPr>
              <w:t>(32,180)</w:t>
            </w:r>
          </w:p>
        </w:tc>
        <w:tc>
          <w:tcPr>
            <w:tcW w:w="100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b/>
                <w:sz w:val="20"/>
              </w:rPr>
            </w:pPr>
            <w:r>
              <w:rPr>
                <w:b/>
                <w:sz w:val="20"/>
              </w:rPr>
              <w:t>(31,614)</w:t>
            </w:r>
          </w:p>
        </w:tc>
        <w:tc>
          <w:tcPr>
            <w:tcW w:w="66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b/>
                <w:sz w:val="20"/>
              </w:rPr>
            </w:pPr>
            <w:r>
              <w:rPr>
                <w:b/>
                <w:sz w:val="20"/>
              </w:rPr>
              <w:t>4,653</w:t>
            </w:r>
          </w:p>
        </w:tc>
        <w:tc>
          <w:tcPr>
            <w:tcW w:w="88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b/>
                <w:sz w:val="20"/>
              </w:rPr>
            </w:pPr>
            <w:r>
              <w:rPr>
                <w:b/>
                <w:sz w:val="20"/>
              </w:rPr>
              <w:t>(1,698)</w:t>
            </w:r>
          </w:p>
        </w:tc>
        <w:tc>
          <w:tcPr>
            <w:tcW w:w="8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b/>
                <w:sz w:val="20"/>
              </w:rPr>
            </w:pPr>
            <w:r>
              <w:rPr>
                <w:b/>
                <w:sz w:val="20"/>
              </w:rPr>
              <w:t>(8,492)</w:t>
            </w:r>
          </w:p>
        </w:tc>
        <w:tc>
          <w:tcPr>
            <w:tcW w:w="76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b/>
                <w:sz w:val="20"/>
              </w:rPr>
            </w:pPr>
            <w:r>
              <w:rPr>
                <w:b/>
                <w:sz w:val="20"/>
              </w:rPr>
              <w:t>(37,151)</w:t>
            </w:r>
          </w:p>
        </w:tc>
      </w:tr>
      <w:tr>
        <w:trPr/>
        <w:tc>
          <w:tcPr>
            <w:tcW w:w="1864" w:type="dxa"/>
            <w:tcBorders>
              <w:left w:val="single" w:sz="8" w:space="0" w:color="000000"/>
              <w:bottom w:val="single" w:sz="8" w:space="0" w:color="000000"/>
              <w:right w:val="single" w:sz="8" w:space="0" w:color="000000"/>
            </w:tcBorders>
            <w:shd w:fill="D5EAEA" w:val="clear"/>
            <w:tcMar>
              <w:top w:w="0" w:type="dxa"/>
            </w:tcMar>
            <w:vAlign w:val="center"/>
          </w:tcPr>
          <w:p>
            <w:pPr>
              <w:pStyle w:val="TableContents"/>
              <w:bidi w:val="0"/>
              <w:spacing w:before="0" w:after="283"/>
              <w:jc w:val="left"/>
              <w:rPr>
                <w:b/>
                <w:sz w:val="20"/>
              </w:rPr>
            </w:pPr>
            <w:r>
              <w:rPr>
                <w:b/>
                <w:sz w:val="20"/>
              </w:rPr>
              <w:t>Deferred tax assets</w:t>
            </w:r>
          </w:p>
        </w:tc>
        <w:tc>
          <w:tcPr>
            <w:tcW w:w="1009" w:type="dxa"/>
            <w:tcBorders>
              <w:bottom w:val="single" w:sz="8" w:space="0" w:color="000000"/>
              <w:right w:val="single" w:sz="8" w:space="0" w:color="000000"/>
            </w:tcBorders>
            <w:shd w:fill="D5EAEA" w:val="clear"/>
            <w:tcMar>
              <w:top w:w="0" w:type="dxa"/>
              <w:left w:w="0" w:type="dxa"/>
            </w:tcMar>
            <w:vAlign w:val="center"/>
          </w:tcPr>
          <w:p>
            <w:pPr>
              <w:pStyle w:val="TableContents"/>
              <w:bidi w:val="0"/>
              <w:spacing w:before="0" w:after="283"/>
              <w:jc w:val="right"/>
              <w:rPr>
                <w:b/>
                <w:sz w:val="20"/>
              </w:rPr>
            </w:pPr>
            <w:r>
              <w:rPr>
                <w:b/>
                <w:sz w:val="20"/>
              </w:rPr>
              <w:t>15,824</w:t>
            </w:r>
          </w:p>
        </w:tc>
        <w:tc>
          <w:tcPr>
            <w:tcW w:w="706" w:type="dxa"/>
            <w:tcBorders/>
            <w:shd w:fill="D5EAEA"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pPr>
            <w:r>
              <w:rPr/>
              <w:t> </w:t>
            </w:r>
          </w:p>
        </w:tc>
        <w:tc>
          <w:tcPr>
            <w:tcW w:w="745" w:type="dxa"/>
            <w:tcBorders>
              <w:bottom w:val="single" w:sz="8" w:space="0" w:color="000000"/>
              <w:right w:val="single" w:sz="8" w:space="0" w:color="000000"/>
            </w:tcBorders>
            <w:shd w:fill="D5EAEA" w:val="clear"/>
            <w:tcMar>
              <w:top w:w="0" w:type="dxa"/>
              <w:left w:w="0" w:type="dxa"/>
            </w:tcMar>
            <w:vAlign w:val="center"/>
          </w:tcPr>
          <w:p>
            <w:pPr>
              <w:pStyle w:val="TableContents"/>
              <w:bidi w:val="0"/>
              <w:spacing w:before="0" w:after="283"/>
              <w:jc w:val="right"/>
              <w:rPr>
                <w:b/>
                <w:sz w:val="20"/>
              </w:rPr>
            </w:pPr>
            <w:r>
              <w:rPr>
                <w:b/>
                <w:sz w:val="20"/>
              </w:rPr>
              <w:t>18,379</w:t>
            </w:r>
          </w:p>
        </w:tc>
        <w:tc>
          <w:tcPr>
            <w:tcW w:w="1009" w:type="dxa"/>
            <w:tcBorders>
              <w:bottom w:val="single" w:sz="8" w:space="0" w:color="000000"/>
              <w:right w:val="single" w:sz="8" w:space="0" w:color="000000"/>
            </w:tcBorders>
            <w:shd w:fill="D5EAEA" w:val="clear"/>
            <w:tcMar>
              <w:top w:w="0" w:type="dxa"/>
              <w:left w:w="0" w:type="dxa"/>
            </w:tcMar>
            <w:vAlign w:val="center"/>
          </w:tcPr>
          <w:p>
            <w:pPr>
              <w:pStyle w:val="TableContents"/>
              <w:bidi w:val="0"/>
              <w:spacing w:before="0" w:after="283"/>
              <w:jc w:val="right"/>
              <w:rPr>
                <w:b/>
                <w:sz w:val="20"/>
              </w:rPr>
            </w:pPr>
            <w:r>
              <w:rPr>
                <w:b/>
                <w:sz w:val="20"/>
              </w:rPr>
              <w:t>20,749</w:t>
            </w:r>
          </w:p>
        </w:tc>
        <w:tc>
          <w:tcPr>
            <w:tcW w:w="669" w:type="dxa"/>
            <w:tcBorders/>
            <w:shd w:fill="D5EAEA"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D5EAEA"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tcBorders>
              <w:right w:val="single" w:sz="8" w:space="0" w:color="000000"/>
            </w:tcBorders>
            <w:shd w:fill="D5EAEA" w:val="clear"/>
            <w:tcMar>
              <w:top w:w="0" w:type="dxa"/>
              <w:left w:w="0" w:type="dxa"/>
              <w:bottom w:w="0" w:type="dxa"/>
            </w:tcMar>
            <w:vAlign w:val="center"/>
          </w:tcPr>
          <w:p>
            <w:pPr>
              <w:pStyle w:val="TableContents"/>
              <w:bidi w:val="0"/>
              <w:spacing w:before="0" w:after="283"/>
              <w:jc w:val="right"/>
              <w:rPr/>
            </w:pPr>
            <w:r>
              <w:rPr/>
              <w:t> </w:t>
            </w:r>
          </w:p>
        </w:tc>
        <w:tc>
          <w:tcPr>
            <w:tcW w:w="765" w:type="dxa"/>
            <w:tcBorders>
              <w:bottom w:val="single" w:sz="8" w:space="0" w:color="000000"/>
              <w:right w:val="single" w:sz="8" w:space="0" w:color="000000"/>
            </w:tcBorders>
            <w:shd w:fill="D5EAEA" w:val="clear"/>
            <w:tcMar>
              <w:top w:w="0" w:type="dxa"/>
              <w:left w:w="0" w:type="dxa"/>
            </w:tcMar>
            <w:vAlign w:val="center"/>
          </w:tcPr>
          <w:p>
            <w:pPr>
              <w:pStyle w:val="TableContents"/>
              <w:bidi w:val="0"/>
              <w:spacing w:before="0" w:after="283"/>
              <w:jc w:val="right"/>
              <w:rPr>
                <w:b/>
                <w:sz w:val="20"/>
              </w:rPr>
            </w:pPr>
            <w:r>
              <w:rPr>
                <w:b/>
                <w:sz w:val="20"/>
              </w:rPr>
              <w:t>19,033</w:t>
            </w:r>
          </w:p>
        </w:tc>
      </w:tr>
      <w:tr>
        <w:trPr/>
        <w:tc>
          <w:tcPr>
            <w:tcW w:w="186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b/>
                <w:sz w:val="20"/>
              </w:rPr>
            </w:pPr>
            <w:r>
              <w:rPr>
                <w:b/>
                <w:sz w:val="20"/>
              </w:rPr>
              <w:t>Deferred tax liabilities</w:t>
            </w:r>
          </w:p>
        </w:tc>
        <w:tc>
          <w:tcPr>
            <w:tcW w:w="100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b/>
                <w:sz w:val="20"/>
              </w:rPr>
            </w:pPr>
            <w:r>
              <w:rPr>
                <w:b/>
                <w:sz w:val="20"/>
              </w:rPr>
              <w:t>(1,774)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4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b/>
                <w:sz w:val="20"/>
              </w:rPr>
            </w:pPr>
            <w:r>
              <w:rPr>
                <w:b/>
                <w:sz w:val="20"/>
              </w:rPr>
              <w:t>(50,559)</w:t>
            </w:r>
          </w:p>
        </w:tc>
        <w:tc>
          <w:tcPr>
            <w:tcW w:w="100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b/>
                <w:sz w:val="20"/>
              </w:rPr>
            </w:pPr>
            <w:r>
              <w:rPr>
                <w:b/>
                <w:sz w:val="20"/>
              </w:rPr>
              <w:t>(52,363)</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6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b/>
                <w:sz w:val="20"/>
              </w:rPr>
            </w:pPr>
            <w:r>
              <w:rPr>
                <w:b/>
                <w:sz w:val="20"/>
              </w:rPr>
              <w:t>(56,184)</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Deferred tax assets have been recognized due to tax losses in PILTDA, Moneda, VBI and Tria, based on Management’s assessment that sufficient future taxable profits are probable, supported by financial forecasts.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both"/>
              <w:rPr/>
            </w:pPr>
            <w:r>
              <w:rPr/>
              <w:t>Fair value adjustments include US$8.6 million deferred tax liability arising from unrealized gains recognized on energy trading contracts.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During 2026, a deferred tax liability ("DTL") was recognized for Solis and Iter with a corresponding increase in goodwill for the fair value adjustments made on the date of acquisition to intangible assets acquired through business combinations - refer to note 14. These business combinations took place in January and February 2026 with the respective recognition of DTL and corresponding increase in goodwill. The deferred tax liability is recycled to the consolidated statement of income over the useful lives of the respective intangible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Realization of deferred tax assets recognized on temporary differences and assessed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 recognized deferred tax assets (DTA) to the value of US$19.0 million (December 31, 2025, US$20.7 million) that include deferred tax on temporary differences and tax losses carried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Company's ability to realize DTA recognized and concluded that the full amount of DTA reported on June 30, 2026, will be realized within the next ten years. The Company continues to monitor the realization of DTA.</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335"/>
        <w:gridCol w:w="3380"/>
      </w:tblGrid>
      <w:tr>
        <w:trPr/>
        <w:tc>
          <w:tcPr>
            <w:tcW w:w="335" w:type="dxa"/>
            <w:tcBorders/>
            <w:vAlign w:val="center"/>
          </w:tcPr>
          <w:p>
            <w:pPr>
              <w:pStyle w:val="TableContents"/>
              <w:bidi w:val="0"/>
              <w:spacing w:before="0" w:after="283"/>
              <w:jc w:val="left"/>
              <w:rPr/>
            </w:pPr>
            <w:r>
              <w:rPr/>
              <w:t>20.</w:t>
            </w:r>
          </w:p>
        </w:tc>
        <w:tc>
          <w:tcPr>
            <w:tcW w:w="3380" w:type="dxa"/>
            <w:tcBorders/>
            <w:vAlign w:val="center"/>
          </w:tcPr>
          <w:p>
            <w:pPr>
              <w:pStyle w:val="TableContents"/>
              <w:bidi w:val="0"/>
              <w:spacing w:before="0" w:after="283"/>
              <w:jc w:val="left"/>
              <w:rPr/>
            </w:pPr>
            <w:r>
              <w:rPr/>
              <w:t>Provisions and contingent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covered by these unaudited condensed consolidated interim financial statements, the Company was not directly involved in lawsuits for which the possibility of loss was probable. Therefore, no provision was recorded relating to any of the matters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three administrative or judicial proceedings with a risk of loss evaluated as possible. These cases are summarized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sz w:val="20"/>
              </w:rPr>
            </w:pPr>
            <w:r>
              <w:rPr>
                <w:sz w:val="20"/>
              </w:rPr>
              <w:t xml:space="preserve">On December 16, 2019, the Brazilian Federal Revenue Service issued a tax assessment notice against Patria (“Patria Investimentos Ltda.”), demanding the collection of Social Integration Program (“PIS”), and Social Security Financing Contribution (“COFINS”), allegedly due on exported financial advice and consultancy services to Patria Finance Limited in 2015 and 2016. As of June 30, 2026, the estimated value involved in this proceeding was US$7.5 million (December 31, 2025: US$7.1 million).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sz w:val="20"/>
              </w:rPr>
            </w:pPr>
            <w:r>
              <w:rPr>
                <w:sz w:val="20"/>
              </w:rPr>
              <w:t>On December 16, 2019, the Brazilian Federal Revenue Service issued a tax assessment notice against Patria (Patria Investimentos Ltda.), to demand the collection of social security contributions on profit sharing program payments and signing bonus in 2015 and 2016. The Company filed its defense and a decision by the administrative court is currently pending. As of June 30, 2026, the estimated amount involved in this proceeding was US$2.8 million (December 31, 2025: US$2.7 million).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sz w:val="20"/>
              </w:rPr>
            </w:pPr>
            <w:r>
              <w:rPr>
                <w:sz w:val="20"/>
              </w:rPr>
              <w:t>On April 02, 2025, Platam Investments Brazil Ltda. (“PLATAM”) received a tax assessment notice questioning non-payment of municipal tax over services (“ISS”) in 2022 and 2023. The aggregated amount involved in this proceeding on June 30, 2026, was US$1.7 million (December 31, 2025: US$1.5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Civil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 was involved in a small number of related proceedings, mainly related to lawsuits filed by third parties seeking the Company's joint liability for the acts of certain of the Company's service providers and/or Portfolio Companies of Patria-managed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Company has been formally released from any liability in respect of the US$83.0 million commercial dispute initiated by third parties seeking to hold the Company jointly liable in connection with the termination of a share purchase and sale agreement entered into by a portfolio company of one of the funds managed by the Company. As a result, the Company is not involved in any material civil proceedings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Labor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 small number of labor-related proceedings, all of which are immaterial individually and in aggregate. With input from the Company’s external counsel, management assessed the risk of loss in these proceedings as possible, and no provision has been recorded.</w:t>
      </w:r>
    </w:p>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35"/>
        <w:gridCol w:w="1355"/>
      </w:tblGrid>
      <w:tr>
        <w:trPr/>
        <w:tc>
          <w:tcPr>
            <w:tcW w:w="335" w:type="dxa"/>
            <w:tcBorders/>
            <w:vAlign w:val="center"/>
          </w:tcPr>
          <w:p>
            <w:pPr>
              <w:pStyle w:val="TableContents"/>
              <w:bidi w:val="0"/>
              <w:spacing w:before="0" w:after="283"/>
              <w:jc w:val="left"/>
              <w:rPr/>
            </w:pPr>
            <w:r>
              <w:rPr/>
              <w:t>21.</w:t>
            </w:r>
          </w:p>
        </w:tc>
        <w:tc>
          <w:tcPr>
            <w:tcW w:w="1355" w:type="dxa"/>
            <w:tcBorders/>
            <w:vAlign w:val="center"/>
          </w:tcPr>
          <w:p>
            <w:pPr>
              <w:pStyle w:val="TableContents"/>
              <w:bidi w:val="0"/>
              <w:spacing w:before="0" w:after="283"/>
              <w:jc w:val="left"/>
              <w:rPr/>
            </w:pPr>
            <w:r>
              <w:rPr/>
              <w:t>Commitments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commitments which occur in the normal course of business. The Company plans to fund these commitments out of existing facilities and internally generated funds.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262"/>
        <w:gridCol w:w="8769"/>
      </w:tblGrid>
      <w:tr>
        <w:trPr/>
        <w:tc>
          <w:tcPr>
            <w:tcW w:w="17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pPr>
            <w:r>
              <w:rPr/>
              <w:t>(</w:t>
            </w:r>
            <w:r>
              <w:rPr>
                <w:caps w:val="false"/>
                <w:smallCaps w:val="false"/>
              </w:rPr>
              <w:t>a</w:t>
            </w:r>
            <w:r>
              <w:rPr/>
              <w:t>)</w:t>
            </w:r>
          </w:p>
        </w:tc>
        <w:tc>
          <w:tcPr>
            <w:tcW w:w="8769" w:type="dxa"/>
            <w:tcBorders/>
            <w:vAlign w:val="center"/>
          </w:tcPr>
          <w:p>
            <w:pPr>
              <w:pStyle w:val="TableContents"/>
              <w:bidi w:val="0"/>
              <w:spacing w:before="0" w:after="283"/>
              <w:jc w:val="both"/>
              <w:rPr>
                <w:caps w:val="false"/>
                <w:smallCaps w:val="false"/>
              </w:rPr>
            </w:pPr>
            <w:r>
              <w:rPr>
                <w:caps w:val="false"/>
                <w:smallCaps w:val="false"/>
              </w:rPr>
              <w:t>Lease commitments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commitments in which the Company is a lessee refer to the leasing of its office spaces located in Grand Cayman, Bogotá, London, Montevideo, New York, Santiago; São Paulo and Medellín.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disclose the following amounts relating to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recognized in the consolidated statement of financial position</w:t>
      </w:r>
    </w:p>
    <w:p>
      <w:pPr>
        <w:pStyle w:val="TextBody"/>
        <w:bidi w:val="0"/>
        <w:spacing w:before="0" w:after="0"/>
        <w:ind w:left="0" w:right="0" w:hanging="0"/>
        <w:jc w:val="left"/>
        <w:rPr>
          <w:caps w:val="false"/>
          <w:smallCaps w:val="false"/>
        </w:rPr>
      </w:pPr>
      <w:r>
        <w:rPr>
          <w:caps w:val="false"/>
          <w:smallCaps w:val="false"/>
        </w:rPr>
        <w:t> </w:t>
      </w:r>
    </w:p>
    <w:tbl>
      <w:tblPr>
        <w:tblW w:w="6570" w:type="dxa"/>
        <w:jc w:val="center"/>
        <w:tblInd w:w="0" w:type="dxa"/>
        <w:tblLayout w:type="fixed"/>
        <w:tblCellMar>
          <w:top w:w="0" w:type="dxa"/>
          <w:left w:w="0" w:type="dxa"/>
          <w:bottom w:w="0" w:type="dxa"/>
          <w:right w:w="0" w:type="dxa"/>
        </w:tblCellMar>
      </w:tblPr>
      <w:tblGrid>
        <w:gridCol w:w="3725"/>
        <w:gridCol w:w="1190"/>
        <w:gridCol w:w="1655"/>
      </w:tblGrid>
      <w:tr>
        <w:trPr/>
        <w:tc>
          <w:tcPr>
            <w:tcW w:w="372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3725" w:type="dxa"/>
            <w:tcBorders/>
            <w:shd w:fill="D5EAEA" w:val="clear"/>
            <w:vAlign w:val="center"/>
          </w:tcPr>
          <w:p>
            <w:pPr>
              <w:pStyle w:val="TableContents"/>
              <w:bidi w:val="0"/>
              <w:spacing w:before="0" w:after="283"/>
              <w:jc w:val="left"/>
              <w:rPr>
                <w:sz w:val="20"/>
              </w:rPr>
            </w:pPr>
            <w:r>
              <w:rPr>
                <w:sz w:val="20"/>
              </w:rPr>
              <w:t>Right-of-use assets</w:t>
            </w:r>
          </w:p>
        </w:tc>
        <w:tc>
          <w:tcPr>
            <w:tcW w:w="1190" w:type="dxa"/>
            <w:tcBorders/>
            <w:shd w:fill="D5EAEA" w:val="clear"/>
            <w:vAlign w:val="center"/>
          </w:tcPr>
          <w:p>
            <w:pPr>
              <w:pStyle w:val="TableContents"/>
              <w:bidi w:val="0"/>
              <w:spacing w:before="0" w:after="283"/>
              <w:jc w:val="right"/>
              <w:rPr>
                <w:sz w:val="20"/>
              </w:rPr>
            </w:pPr>
            <w:r>
              <w:rPr>
                <w:sz w:val="20"/>
              </w:rPr>
              <w:t>39,171</w:t>
            </w:r>
          </w:p>
        </w:tc>
        <w:tc>
          <w:tcPr>
            <w:tcW w:w="1655" w:type="dxa"/>
            <w:tcBorders/>
            <w:shd w:fill="D5EAEA" w:val="clear"/>
            <w:vAlign w:val="center"/>
          </w:tcPr>
          <w:p>
            <w:pPr>
              <w:pStyle w:val="TableContents"/>
              <w:bidi w:val="0"/>
              <w:spacing w:before="0" w:after="283"/>
              <w:jc w:val="right"/>
              <w:rPr>
                <w:sz w:val="20"/>
              </w:rPr>
            </w:pPr>
            <w:r>
              <w:rPr>
                <w:sz w:val="20"/>
              </w:rPr>
              <w:t>33,774</w:t>
            </w:r>
          </w:p>
        </w:tc>
      </w:tr>
      <w:tr>
        <w:trPr/>
        <w:tc>
          <w:tcPr>
            <w:tcW w:w="3725" w:type="dxa"/>
            <w:tcBorders/>
            <w:shd w:fill="FFFFFF" w:val="clear"/>
            <w:vAlign w:val="center"/>
          </w:tcPr>
          <w:p>
            <w:pPr>
              <w:pStyle w:val="TableContents"/>
              <w:bidi w:val="0"/>
              <w:spacing w:before="0" w:after="283"/>
              <w:jc w:val="left"/>
              <w:rPr>
                <w:sz w:val="20"/>
              </w:rPr>
            </w:pPr>
            <w:r>
              <w:rPr>
                <w:sz w:val="20"/>
              </w:rPr>
              <w:t>(-) Depreciation of right-of-use assets</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(15,156)</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(12,303)</w:t>
            </w:r>
          </w:p>
        </w:tc>
      </w:tr>
      <w:tr>
        <w:trPr/>
        <w:tc>
          <w:tcPr>
            <w:tcW w:w="3725" w:type="dxa"/>
            <w:tcBorders/>
            <w:shd w:fill="D5EAEA" w:val="clear"/>
            <w:vAlign w:val="center"/>
          </w:tcPr>
          <w:p>
            <w:pPr>
              <w:pStyle w:val="TableContents"/>
              <w:bidi w:val="0"/>
              <w:spacing w:before="0" w:after="283"/>
              <w:jc w:val="left"/>
              <w:rPr>
                <w:b/>
                <w:sz w:val="20"/>
              </w:rPr>
            </w:pPr>
            <w:r>
              <w:rPr>
                <w:b/>
                <w:sz w:val="20"/>
              </w:rPr>
              <w:t>Right-of-use assets</w:t>
            </w:r>
          </w:p>
        </w:tc>
        <w:tc>
          <w:tcPr>
            <w:tcW w:w="1190"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24,015</w:t>
            </w:r>
          </w:p>
        </w:tc>
        <w:tc>
          <w:tcPr>
            <w:tcW w:w="165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21,471</w:t>
            </w:r>
          </w:p>
        </w:tc>
      </w:tr>
      <w:tr>
        <w:trPr/>
        <w:tc>
          <w:tcPr>
            <w:tcW w:w="37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1655" w:type="dxa"/>
            <w:tcBorders/>
            <w:shd w:fill="FFFFFF" w:val="clear"/>
            <w:vAlign w:val="center"/>
          </w:tcPr>
          <w:p>
            <w:pPr>
              <w:pStyle w:val="TableContents"/>
              <w:bidi w:val="0"/>
              <w:spacing w:before="0" w:after="283"/>
              <w:jc w:val="right"/>
              <w:rPr/>
            </w:pPr>
            <w:r>
              <w:rPr/>
              <w:t> </w:t>
            </w:r>
          </w:p>
        </w:tc>
      </w:tr>
      <w:tr>
        <w:trPr/>
        <w:tc>
          <w:tcPr>
            <w:tcW w:w="3725" w:type="dxa"/>
            <w:tcBorders/>
            <w:shd w:fill="D5EAEA" w:val="clear"/>
            <w:vAlign w:val="center"/>
          </w:tcPr>
          <w:p>
            <w:pPr>
              <w:pStyle w:val="TableContents"/>
              <w:bidi w:val="0"/>
              <w:spacing w:before="0" w:after="283"/>
              <w:jc w:val="left"/>
              <w:rPr>
                <w:sz w:val="20"/>
              </w:rPr>
            </w:pPr>
            <w:r>
              <w:rPr>
                <w:sz w:val="20"/>
              </w:rPr>
              <w:t>Lease liabilities (other current liabilities)</w:t>
            </w:r>
          </w:p>
        </w:tc>
        <w:tc>
          <w:tcPr>
            <w:tcW w:w="1190" w:type="dxa"/>
            <w:tcBorders/>
            <w:shd w:fill="D5EAEA" w:val="clear"/>
            <w:vAlign w:val="center"/>
          </w:tcPr>
          <w:p>
            <w:pPr>
              <w:pStyle w:val="TableContents"/>
              <w:bidi w:val="0"/>
              <w:spacing w:before="0" w:after="283"/>
              <w:jc w:val="right"/>
              <w:rPr>
                <w:sz w:val="20"/>
              </w:rPr>
            </w:pPr>
            <w:r>
              <w:rPr>
                <w:sz w:val="20"/>
              </w:rPr>
              <w:t>8,556</w:t>
            </w:r>
          </w:p>
        </w:tc>
        <w:tc>
          <w:tcPr>
            <w:tcW w:w="1655" w:type="dxa"/>
            <w:tcBorders/>
            <w:shd w:fill="D5EAEA" w:val="clear"/>
            <w:vAlign w:val="center"/>
          </w:tcPr>
          <w:p>
            <w:pPr>
              <w:pStyle w:val="TableContents"/>
              <w:bidi w:val="0"/>
              <w:spacing w:before="0" w:after="283"/>
              <w:jc w:val="right"/>
              <w:rPr>
                <w:sz w:val="20"/>
              </w:rPr>
            </w:pPr>
            <w:r>
              <w:rPr>
                <w:sz w:val="20"/>
              </w:rPr>
              <w:t>4,333</w:t>
            </w:r>
          </w:p>
        </w:tc>
      </w:tr>
      <w:tr>
        <w:trPr/>
        <w:tc>
          <w:tcPr>
            <w:tcW w:w="3725" w:type="dxa"/>
            <w:tcBorders/>
            <w:shd w:fill="FFFFFF" w:val="clear"/>
            <w:vAlign w:val="center"/>
          </w:tcPr>
          <w:p>
            <w:pPr>
              <w:pStyle w:val="TableContents"/>
              <w:bidi w:val="0"/>
              <w:spacing w:before="0" w:after="283"/>
              <w:jc w:val="left"/>
              <w:rPr>
                <w:sz w:val="20"/>
              </w:rPr>
            </w:pPr>
            <w:r>
              <w:rPr>
                <w:sz w:val="20"/>
              </w:rPr>
              <w:t>Lease liabilities (other non-current liabilities)</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18,734</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19,483</w:t>
            </w:r>
          </w:p>
        </w:tc>
      </w:tr>
      <w:tr>
        <w:trPr/>
        <w:tc>
          <w:tcPr>
            <w:tcW w:w="3725" w:type="dxa"/>
            <w:tcBorders/>
            <w:shd w:fill="D5EAEA" w:val="clear"/>
            <w:vAlign w:val="center"/>
          </w:tcPr>
          <w:p>
            <w:pPr>
              <w:pStyle w:val="TableContents"/>
              <w:bidi w:val="0"/>
              <w:spacing w:before="0" w:after="283"/>
              <w:jc w:val="left"/>
              <w:rPr>
                <w:b/>
                <w:sz w:val="20"/>
              </w:rPr>
            </w:pPr>
            <w:r>
              <w:rPr>
                <w:b/>
                <w:sz w:val="20"/>
              </w:rPr>
              <w:t>Lease liabilities</w:t>
            </w:r>
          </w:p>
        </w:tc>
        <w:tc>
          <w:tcPr>
            <w:tcW w:w="1190"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27,290</w:t>
            </w:r>
          </w:p>
        </w:tc>
        <w:tc>
          <w:tcPr>
            <w:tcW w:w="165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23,816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recognized in the unaudited consolidated statement of income</w:t>
      </w:r>
    </w:p>
    <w:p>
      <w:pPr>
        <w:pStyle w:val="TextBody"/>
        <w:bidi w:val="0"/>
        <w:spacing w:before="0" w:after="0"/>
        <w:ind w:left="0" w:right="0" w:hanging="0"/>
        <w:jc w:val="both"/>
        <w:rPr>
          <w:caps w:val="false"/>
          <w:smallCaps w:val="false"/>
        </w:rPr>
      </w:pPr>
      <w:r>
        <w:rPr>
          <w:caps w:val="false"/>
          <w:smallCaps w:val="false"/>
        </w:rPr>
        <w:t> </w:t>
      </w:r>
    </w:p>
    <w:tbl>
      <w:tblPr>
        <w:tblW w:w="7570" w:type="dxa"/>
        <w:jc w:val="center"/>
        <w:tblInd w:w="0" w:type="dxa"/>
        <w:tblLayout w:type="fixed"/>
        <w:tblCellMar>
          <w:top w:w="0" w:type="dxa"/>
          <w:left w:w="0" w:type="dxa"/>
          <w:bottom w:w="0" w:type="dxa"/>
          <w:right w:w="0" w:type="dxa"/>
        </w:tblCellMar>
      </w:tblPr>
      <w:tblGrid>
        <w:gridCol w:w="2795"/>
        <w:gridCol w:w="1190"/>
        <w:gridCol w:w="1190"/>
        <w:gridCol w:w="1190"/>
        <w:gridCol w:w="1205"/>
      </w:tblGrid>
      <w:tr>
        <w:trPr/>
        <w:tc>
          <w:tcPr>
            <w:tcW w:w="2795" w:type="dxa"/>
            <w:tcBorders/>
            <w:vAlign w:val="center"/>
          </w:tcPr>
          <w:p>
            <w:pPr>
              <w:pStyle w:val="TableContents"/>
              <w:bidi w:val="0"/>
              <w:spacing w:before="0" w:after="283"/>
              <w:jc w:val="left"/>
              <w:rPr/>
            </w:pPr>
            <w:r>
              <w:rPr/>
              <w:t> </w:t>
            </w:r>
          </w:p>
        </w:tc>
        <w:tc>
          <w:tcPr>
            <w:tcW w:w="23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3-months</w:t>
            </w:r>
          </w:p>
        </w:tc>
        <w:tc>
          <w:tcPr>
            <w:tcW w:w="23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6-months</w:t>
            </w:r>
          </w:p>
        </w:tc>
      </w:tr>
      <w:tr>
        <w:trPr/>
        <w:tc>
          <w:tcPr>
            <w:tcW w:w="279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2025</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20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2025</w:t>
            </w:r>
          </w:p>
        </w:tc>
      </w:tr>
      <w:tr>
        <w:trPr/>
        <w:tc>
          <w:tcPr>
            <w:tcW w:w="2795" w:type="dxa"/>
            <w:tcBorders/>
            <w:shd w:fill="D5EAEA" w:val="clear"/>
            <w:vAlign w:val="center"/>
          </w:tcPr>
          <w:p>
            <w:pPr>
              <w:pStyle w:val="TableContents"/>
              <w:bidi w:val="0"/>
              <w:spacing w:before="0" w:after="283"/>
              <w:jc w:val="left"/>
              <w:rPr>
                <w:sz w:val="20"/>
              </w:rPr>
            </w:pPr>
            <w:r>
              <w:rPr>
                <w:sz w:val="20"/>
              </w:rPr>
              <w:t>Depreciation of right-of-use assets</w:t>
            </w:r>
          </w:p>
        </w:tc>
        <w:tc>
          <w:tcPr>
            <w:tcW w:w="1190" w:type="dxa"/>
            <w:tcBorders/>
            <w:shd w:fill="D5EAEA" w:val="clear"/>
            <w:vAlign w:val="center"/>
          </w:tcPr>
          <w:p>
            <w:pPr>
              <w:pStyle w:val="TableContents"/>
              <w:bidi w:val="0"/>
              <w:spacing w:before="0" w:after="283"/>
              <w:jc w:val="right"/>
              <w:rPr>
                <w:sz w:val="20"/>
              </w:rPr>
            </w:pPr>
            <w:r>
              <w:rPr>
                <w:sz w:val="20"/>
              </w:rPr>
              <w:t>(1,283)</w:t>
            </w:r>
          </w:p>
        </w:tc>
        <w:tc>
          <w:tcPr>
            <w:tcW w:w="1190" w:type="dxa"/>
            <w:tcBorders/>
            <w:shd w:fill="D5EAEA" w:val="clear"/>
            <w:vAlign w:val="center"/>
          </w:tcPr>
          <w:p>
            <w:pPr>
              <w:pStyle w:val="TableContents"/>
              <w:bidi w:val="0"/>
              <w:spacing w:before="0" w:after="283"/>
              <w:jc w:val="right"/>
              <w:rPr>
                <w:sz w:val="20"/>
              </w:rPr>
            </w:pPr>
            <w:r>
              <w:rPr>
                <w:sz w:val="20"/>
              </w:rPr>
              <w:t>(1,080)</w:t>
            </w:r>
          </w:p>
        </w:tc>
        <w:tc>
          <w:tcPr>
            <w:tcW w:w="1190" w:type="dxa"/>
            <w:tcBorders/>
            <w:shd w:fill="D5EAEA" w:val="clear"/>
            <w:vAlign w:val="center"/>
          </w:tcPr>
          <w:p>
            <w:pPr>
              <w:pStyle w:val="TableContents"/>
              <w:bidi w:val="0"/>
              <w:spacing w:before="0" w:after="283"/>
              <w:jc w:val="right"/>
              <w:rPr>
                <w:sz w:val="20"/>
              </w:rPr>
            </w:pPr>
            <w:r>
              <w:rPr>
                <w:sz w:val="20"/>
              </w:rPr>
              <w:t>(2,524)</w:t>
            </w:r>
          </w:p>
        </w:tc>
        <w:tc>
          <w:tcPr>
            <w:tcW w:w="1205" w:type="dxa"/>
            <w:tcBorders/>
            <w:shd w:fill="D5EAEA" w:val="clear"/>
            <w:vAlign w:val="center"/>
          </w:tcPr>
          <w:p>
            <w:pPr>
              <w:pStyle w:val="TableContents"/>
              <w:bidi w:val="0"/>
              <w:spacing w:before="0" w:after="283"/>
              <w:jc w:val="right"/>
              <w:rPr>
                <w:sz w:val="20"/>
              </w:rPr>
            </w:pPr>
            <w:r>
              <w:rPr>
                <w:sz w:val="20"/>
              </w:rPr>
              <w:t>(1,901)</w:t>
            </w:r>
          </w:p>
        </w:tc>
      </w:tr>
      <w:tr>
        <w:trPr/>
        <w:tc>
          <w:tcPr>
            <w:tcW w:w="2795" w:type="dxa"/>
            <w:tcBorders/>
            <w:shd w:fill="FFFFFF" w:val="clear"/>
            <w:vAlign w:val="center"/>
          </w:tcPr>
          <w:p>
            <w:pPr>
              <w:pStyle w:val="TableContents"/>
              <w:bidi w:val="0"/>
              <w:spacing w:before="0" w:after="283"/>
              <w:jc w:val="left"/>
              <w:rPr>
                <w:sz w:val="20"/>
              </w:rPr>
            </w:pPr>
            <w:r>
              <w:rPr>
                <w:sz w:val="20"/>
              </w:rPr>
              <w:t>Interest on lease liabilities</w:t>
            </w:r>
          </w:p>
        </w:tc>
        <w:tc>
          <w:tcPr>
            <w:tcW w:w="1190" w:type="dxa"/>
            <w:tcBorders/>
            <w:shd w:fill="FFFFFF" w:val="clear"/>
            <w:vAlign w:val="center"/>
          </w:tcPr>
          <w:p>
            <w:pPr>
              <w:pStyle w:val="TableContents"/>
              <w:bidi w:val="0"/>
              <w:spacing w:before="0" w:after="283"/>
              <w:jc w:val="right"/>
              <w:rPr>
                <w:sz w:val="20"/>
              </w:rPr>
            </w:pPr>
            <w:r>
              <w:rPr>
                <w:sz w:val="20"/>
              </w:rPr>
              <w:t>(437)</w:t>
            </w:r>
          </w:p>
        </w:tc>
        <w:tc>
          <w:tcPr>
            <w:tcW w:w="1190" w:type="dxa"/>
            <w:tcBorders/>
            <w:shd w:fill="FFFFFF" w:val="clear"/>
            <w:vAlign w:val="center"/>
          </w:tcPr>
          <w:p>
            <w:pPr>
              <w:pStyle w:val="TableContents"/>
              <w:bidi w:val="0"/>
              <w:spacing w:before="0" w:after="283"/>
              <w:jc w:val="right"/>
              <w:rPr>
                <w:sz w:val="20"/>
              </w:rPr>
            </w:pPr>
            <w:r>
              <w:rPr>
                <w:sz w:val="20"/>
              </w:rPr>
              <w:t>(491)</w:t>
            </w:r>
          </w:p>
        </w:tc>
        <w:tc>
          <w:tcPr>
            <w:tcW w:w="1190" w:type="dxa"/>
            <w:tcBorders/>
            <w:shd w:fill="FFFFFF" w:val="clear"/>
            <w:vAlign w:val="center"/>
          </w:tcPr>
          <w:p>
            <w:pPr>
              <w:pStyle w:val="TableContents"/>
              <w:bidi w:val="0"/>
              <w:spacing w:before="0" w:after="283"/>
              <w:jc w:val="right"/>
              <w:rPr>
                <w:sz w:val="20"/>
              </w:rPr>
            </w:pPr>
            <w:r>
              <w:rPr>
                <w:sz w:val="20"/>
              </w:rPr>
              <w:t>(866)</w:t>
            </w:r>
          </w:p>
        </w:tc>
        <w:tc>
          <w:tcPr>
            <w:tcW w:w="1205" w:type="dxa"/>
            <w:tcBorders/>
            <w:shd w:fill="FFFFFF" w:val="clear"/>
            <w:vAlign w:val="center"/>
          </w:tcPr>
          <w:p>
            <w:pPr>
              <w:pStyle w:val="TableContents"/>
              <w:bidi w:val="0"/>
              <w:spacing w:before="0" w:after="283"/>
              <w:jc w:val="right"/>
              <w:rPr>
                <w:sz w:val="20"/>
              </w:rPr>
            </w:pPr>
            <w:r>
              <w:rPr>
                <w:sz w:val="20"/>
              </w:rPr>
              <w:t>(854)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recognized in the consolidated statement of cash flows</w:t>
      </w:r>
    </w:p>
    <w:p>
      <w:pPr>
        <w:pStyle w:val="TextBody"/>
        <w:bidi w:val="0"/>
        <w:spacing w:before="0" w:after="0"/>
        <w:ind w:left="0" w:right="0" w:hanging="0"/>
        <w:jc w:val="both"/>
        <w:rPr>
          <w:caps w:val="false"/>
          <w:smallCaps w:val="false"/>
        </w:rPr>
      </w:pPr>
      <w:r>
        <w:rPr>
          <w:caps w:val="false"/>
          <w:smallCaps w:val="false"/>
        </w:rPr>
        <w:t> </w:t>
      </w:r>
    </w:p>
    <w:tbl>
      <w:tblPr>
        <w:tblW w:w="6940" w:type="dxa"/>
        <w:jc w:val="center"/>
        <w:tblInd w:w="0" w:type="dxa"/>
        <w:tblLayout w:type="fixed"/>
        <w:tblCellMar>
          <w:top w:w="0" w:type="dxa"/>
          <w:left w:w="0" w:type="dxa"/>
          <w:bottom w:w="0" w:type="dxa"/>
          <w:right w:w="0" w:type="dxa"/>
        </w:tblCellMar>
      </w:tblPr>
      <w:tblGrid>
        <w:gridCol w:w="2165"/>
        <w:gridCol w:w="1190"/>
        <w:gridCol w:w="1190"/>
        <w:gridCol w:w="1190"/>
        <w:gridCol w:w="1205"/>
      </w:tblGrid>
      <w:tr>
        <w:trPr/>
        <w:tc>
          <w:tcPr>
            <w:tcW w:w="216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sz w:val="20"/>
              </w:rPr>
            </w:pPr>
            <w:r>
              <w:rPr>
                <w:b/>
                <w:sz w:val="20"/>
              </w:rPr>
              <w:t>3-months</w:t>
            </w:r>
          </w:p>
        </w:tc>
        <w:tc>
          <w:tcPr>
            <w:tcW w:w="3585" w:type="dxa"/>
            <w:gridSpan w:val="3"/>
            <w:tcBorders/>
            <w:vAlign w:val="center"/>
          </w:tcPr>
          <w:p>
            <w:pPr>
              <w:pStyle w:val="TableContents"/>
              <w:bidi w:val="0"/>
              <w:spacing w:before="0" w:after="283"/>
              <w:jc w:val="center"/>
              <w:rPr>
                <w:b/>
                <w:sz w:val="20"/>
              </w:rPr>
            </w:pPr>
            <w:r>
              <w:rPr>
                <w:b/>
                <w:sz w:val="20"/>
              </w:rPr>
              <w:t>6-months</w:t>
            </w:r>
          </w:p>
        </w:tc>
      </w:tr>
      <w:tr>
        <w:trPr/>
        <w:tc>
          <w:tcPr>
            <w:tcW w:w="2165" w:type="dxa"/>
            <w:tcBorders/>
            <w:vAlign w:val="center"/>
          </w:tcPr>
          <w:p>
            <w:pPr>
              <w:pStyle w:val="TableContents"/>
              <w:bidi w:val="0"/>
              <w:spacing w:before="0" w:after="283"/>
              <w:jc w:val="left"/>
              <w:rPr/>
            </w:pPr>
            <w:r>
              <w:rPr/>
              <w:t> </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June 30, 2026</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June 30, 2025</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June 30, 2026</w:t>
            </w:r>
          </w:p>
        </w:tc>
        <w:tc>
          <w:tcPr>
            <w:tcW w:w="120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June 30, 2025</w:t>
            </w:r>
          </w:p>
        </w:tc>
      </w:tr>
      <w:tr>
        <w:trPr/>
        <w:tc>
          <w:tcPr>
            <w:tcW w:w="2165" w:type="dxa"/>
            <w:tcBorders>
              <w:top w:val="single" w:sz="8" w:space="0" w:color="000000"/>
            </w:tcBorders>
            <w:shd w:fill="D5EAEA" w:val="clear"/>
            <w:tcMar>
              <w:top w:w="28" w:type="dxa"/>
            </w:tcMar>
            <w:vAlign w:val="center"/>
          </w:tcPr>
          <w:p>
            <w:pPr>
              <w:pStyle w:val="TableContents"/>
              <w:bidi w:val="0"/>
              <w:spacing w:before="0" w:after="283"/>
              <w:jc w:val="left"/>
              <w:rPr>
                <w:sz w:val="20"/>
              </w:rPr>
            </w:pPr>
            <w:r>
              <w:rPr>
                <w:sz w:val="20"/>
              </w:rPr>
              <w:t>Principal paid</w:t>
            </w:r>
          </w:p>
        </w:tc>
        <w:tc>
          <w:tcPr>
            <w:tcW w:w="1190" w:type="dxa"/>
            <w:tcBorders/>
            <w:shd w:fill="D5EAEA" w:val="clear"/>
            <w:vAlign w:val="center"/>
          </w:tcPr>
          <w:p>
            <w:pPr>
              <w:pStyle w:val="TableContents"/>
              <w:bidi w:val="0"/>
              <w:spacing w:before="0" w:after="283"/>
              <w:jc w:val="right"/>
              <w:rPr>
                <w:sz w:val="20"/>
              </w:rPr>
            </w:pPr>
            <w:r>
              <w:rPr>
                <w:sz w:val="20"/>
              </w:rPr>
              <w:t>(1,707)</w:t>
            </w:r>
          </w:p>
        </w:tc>
        <w:tc>
          <w:tcPr>
            <w:tcW w:w="1190" w:type="dxa"/>
            <w:tcBorders/>
            <w:shd w:fill="D5EAEA" w:val="clear"/>
            <w:vAlign w:val="center"/>
          </w:tcPr>
          <w:p>
            <w:pPr>
              <w:pStyle w:val="TableContents"/>
              <w:bidi w:val="0"/>
              <w:spacing w:before="0" w:after="283"/>
              <w:jc w:val="right"/>
              <w:rPr>
                <w:sz w:val="20"/>
              </w:rPr>
            </w:pPr>
            <w:r>
              <w:rPr>
                <w:sz w:val="20"/>
              </w:rPr>
              <w:t>(1,049)</w:t>
            </w:r>
          </w:p>
        </w:tc>
        <w:tc>
          <w:tcPr>
            <w:tcW w:w="1190" w:type="dxa"/>
            <w:tcBorders/>
            <w:shd w:fill="D5EAEA" w:val="clear"/>
            <w:vAlign w:val="center"/>
          </w:tcPr>
          <w:p>
            <w:pPr>
              <w:pStyle w:val="TableContents"/>
              <w:bidi w:val="0"/>
              <w:spacing w:before="0" w:after="283"/>
              <w:jc w:val="right"/>
              <w:rPr>
                <w:sz w:val="20"/>
              </w:rPr>
            </w:pPr>
            <w:r>
              <w:rPr>
                <w:sz w:val="20"/>
              </w:rPr>
              <w:t>(3,325)</w:t>
            </w:r>
          </w:p>
        </w:tc>
        <w:tc>
          <w:tcPr>
            <w:tcW w:w="1205" w:type="dxa"/>
            <w:tcBorders/>
            <w:shd w:fill="D5EAEA" w:val="clear"/>
            <w:vAlign w:val="center"/>
          </w:tcPr>
          <w:p>
            <w:pPr>
              <w:pStyle w:val="TableContents"/>
              <w:bidi w:val="0"/>
              <w:spacing w:before="0" w:after="283"/>
              <w:jc w:val="right"/>
              <w:rPr>
                <w:sz w:val="20"/>
              </w:rPr>
            </w:pPr>
            <w:r>
              <w:rPr>
                <w:sz w:val="20"/>
              </w:rPr>
              <w:t>(1,957)</w:t>
            </w:r>
          </w:p>
        </w:tc>
      </w:tr>
      <w:tr>
        <w:trPr/>
        <w:tc>
          <w:tcPr>
            <w:tcW w:w="2165" w:type="dxa"/>
            <w:tcBorders/>
            <w:shd w:fill="FFFFFF" w:val="clear"/>
            <w:vAlign w:val="center"/>
          </w:tcPr>
          <w:p>
            <w:pPr>
              <w:pStyle w:val="TableContents"/>
              <w:bidi w:val="0"/>
              <w:spacing w:before="0" w:after="283"/>
              <w:jc w:val="left"/>
              <w:rPr>
                <w:sz w:val="20"/>
              </w:rPr>
            </w:pPr>
            <w:r>
              <w:rPr>
                <w:sz w:val="20"/>
              </w:rPr>
              <w:t>Interest on lease liabilities</w:t>
            </w:r>
          </w:p>
        </w:tc>
        <w:tc>
          <w:tcPr>
            <w:tcW w:w="1190" w:type="dxa"/>
            <w:tcBorders/>
            <w:shd w:fill="FFFFFF" w:val="clear"/>
            <w:vAlign w:val="center"/>
          </w:tcPr>
          <w:p>
            <w:pPr>
              <w:pStyle w:val="TableContents"/>
              <w:bidi w:val="0"/>
              <w:spacing w:before="0" w:after="283"/>
              <w:jc w:val="right"/>
              <w:rPr>
                <w:sz w:val="20"/>
              </w:rPr>
            </w:pPr>
            <w:r>
              <w:rPr>
                <w:sz w:val="20"/>
              </w:rPr>
              <w:t>(437)</w:t>
            </w:r>
          </w:p>
        </w:tc>
        <w:tc>
          <w:tcPr>
            <w:tcW w:w="1190" w:type="dxa"/>
            <w:tcBorders/>
            <w:shd w:fill="FFFFFF" w:val="clear"/>
            <w:vAlign w:val="center"/>
          </w:tcPr>
          <w:p>
            <w:pPr>
              <w:pStyle w:val="TableContents"/>
              <w:bidi w:val="0"/>
              <w:spacing w:before="0" w:after="283"/>
              <w:jc w:val="right"/>
              <w:rPr>
                <w:sz w:val="20"/>
              </w:rPr>
            </w:pPr>
            <w:r>
              <w:rPr>
                <w:sz w:val="20"/>
              </w:rPr>
              <w:t>(491)</w:t>
            </w:r>
          </w:p>
        </w:tc>
        <w:tc>
          <w:tcPr>
            <w:tcW w:w="1190" w:type="dxa"/>
            <w:tcBorders/>
            <w:shd w:fill="FFFFFF" w:val="clear"/>
            <w:vAlign w:val="center"/>
          </w:tcPr>
          <w:p>
            <w:pPr>
              <w:pStyle w:val="TableContents"/>
              <w:bidi w:val="0"/>
              <w:spacing w:before="0" w:after="283"/>
              <w:jc w:val="right"/>
              <w:rPr>
                <w:sz w:val="20"/>
              </w:rPr>
            </w:pPr>
            <w:r>
              <w:rPr>
                <w:sz w:val="20"/>
              </w:rPr>
              <w:t>(866)</w:t>
            </w:r>
          </w:p>
        </w:tc>
        <w:tc>
          <w:tcPr>
            <w:tcW w:w="1205" w:type="dxa"/>
            <w:tcBorders/>
            <w:shd w:fill="FFFFFF" w:val="clear"/>
            <w:vAlign w:val="center"/>
          </w:tcPr>
          <w:p>
            <w:pPr>
              <w:pStyle w:val="TableContents"/>
              <w:bidi w:val="0"/>
              <w:spacing w:before="0" w:after="283"/>
              <w:jc w:val="right"/>
              <w:rPr>
                <w:sz w:val="20"/>
              </w:rPr>
            </w:pPr>
            <w:r>
              <w:rPr>
                <w:sz w:val="20"/>
              </w:rPr>
              <w:t>(854)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notable lease movements took place during the six-month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31 liquidity risk disclosures for maturity analysis on lease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32 for disclosures on leases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727"/>
        <w:gridCol w:w="9383"/>
      </w:tblGrid>
      <w:tr>
        <w:trPr/>
        <w:tc>
          <w:tcPr>
            <w:tcW w:w="9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pPr>
            <w:r>
              <w:rPr/>
              <w:t>(b)</w:t>
            </w:r>
          </w:p>
        </w:tc>
        <w:tc>
          <w:tcPr>
            <w:tcW w:w="9383" w:type="dxa"/>
            <w:tcBorders/>
            <w:vAlign w:val="center"/>
          </w:tcPr>
          <w:p>
            <w:pPr>
              <w:pStyle w:val="TableContents"/>
              <w:bidi w:val="0"/>
              <w:spacing w:before="0" w:after="283"/>
              <w:jc w:val="both"/>
              <w:rPr>
                <w:caps w:val="false"/>
                <w:smallCaps w:val="false"/>
              </w:rPr>
            </w:pPr>
            <w:r>
              <w:rPr>
                <w:caps w:val="false"/>
                <w:smallCaps w:val="false"/>
              </w:rPr>
              <w:t>Consideration payable from acquisition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consideration payable from acquisition transactions.</w:t>
      </w:r>
    </w:p>
    <w:p>
      <w:pPr>
        <w:pStyle w:val="TextBody"/>
        <w:bidi w:val="0"/>
        <w:spacing w:before="0" w:after="0"/>
        <w:ind w:left="0" w:right="0" w:hanging="0"/>
        <w:jc w:val="both"/>
        <w:rPr>
          <w:caps w:val="false"/>
          <w:smallCaps w:val="false"/>
        </w:rPr>
      </w:pPr>
      <w:r>
        <w:rPr>
          <w:caps w:val="false"/>
          <w:smallCaps w:val="false"/>
        </w:rPr>
        <w:t> </w:t>
      </w:r>
    </w:p>
    <w:tbl>
      <w:tblPr>
        <w:tblW w:w="8250" w:type="dxa"/>
        <w:jc w:val="center"/>
        <w:tblInd w:w="0" w:type="dxa"/>
        <w:tblLayout w:type="fixed"/>
        <w:tblCellMar>
          <w:top w:w="0" w:type="dxa"/>
          <w:left w:w="0" w:type="dxa"/>
          <w:bottom w:w="0" w:type="dxa"/>
          <w:right w:w="0" w:type="dxa"/>
        </w:tblCellMar>
      </w:tblPr>
      <w:tblGrid>
        <w:gridCol w:w="5495"/>
        <w:gridCol w:w="1145"/>
        <w:gridCol w:w="1610"/>
      </w:tblGrid>
      <w:tr>
        <w:trPr/>
        <w:tc>
          <w:tcPr>
            <w:tcW w:w="5495"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30,2026</w:t>
            </w:r>
          </w:p>
        </w:tc>
        <w:tc>
          <w:tcPr>
            <w:tcW w:w="16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31,2025</w:t>
            </w:r>
          </w:p>
        </w:tc>
      </w:tr>
      <w:tr>
        <w:trPr/>
        <w:tc>
          <w:tcPr>
            <w:tcW w:w="549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610" w:type="dxa"/>
            <w:tcBorders/>
            <w:vAlign w:val="center"/>
          </w:tcPr>
          <w:p>
            <w:pPr>
              <w:pStyle w:val="TableContents"/>
              <w:bidi w:val="0"/>
              <w:spacing w:before="0" w:after="283"/>
              <w:jc w:val="right"/>
              <w:rPr/>
            </w:pPr>
            <w:r>
              <w:rPr/>
              <w:t> </w:t>
            </w:r>
          </w:p>
        </w:tc>
      </w:tr>
      <w:tr>
        <w:trPr/>
        <w:tc>
          <w:tcPr>
            <w:tcW w:w="5495" w:type="dxa"/>
            <w:tcBorders/>
            <w:shd w:fill="D5EAEA" w:val="clear"/>
            <w:vAlign w:val="center"/>
          </w:tcPr>
          <w:p>
            <w:pPr>
              <w:pStyle w:val="TableContents"/>
              <w:bidi w:val="0"/>
              <w:spacing w:before="0" w:after="283"/>
              <w:jc w:val="left"/>
              <w:rPr>
                <w:sz w:val="20"/>
              </w:rPr>
            </w:pPr>
            <w:r>
              <w:rPr>
                <w:sz w:val="20"/>
              </w:rPr>
              <w:t>Consideration payable from acquisition (a)</w:t>
            </w:r>
          </w:p>
        </w:tc>
        <w:tc>
          <w:tcPr>
            <w:tcW w:w="1145" w:type="dxa"/>
            <w:tcBorders/>
            <w:shd w:fill="D5EAEA" w:val="clear"/>
            <w:vAlign w:val="center"/>
          </w:tcPr>
          <w:p>
            <w:pPr>
              <w:pStyle w:val="TableContents"/>
              <w:bidi w:val="0"/>
              <w:spacing w:before="0" w:after="283"/>
              <w:jc w:val="right"/>
              <w:rPr>
                <w:sz w:val="20"/>
              </w:rPr>
            </w:pPr>
            <w:r>
              <w:rPr>
                <w:sz w:val="20"/>
              </w:rPr>
              <w:tab/>
              <w:t>177,564</w:t>
            </w:r>
          </w:p>
        </w:tc>
        <w:tc>
          <w:tcPr>
            <w:tcW w:w="1610" w:type="dxa"/>
            <w:tcBorders/>
            <w:shd w:fill="D5EAEA" w:val="clear"/>
            <w:vAlign w:val="center"/>
          </w:tcPr>
          <w:p>
            <w:pPr>
              <w:pStyle w:val="TableContents"/>
              <w:bidi w:val="0"/>
              <w:spacing w:before="0" w:after="283"/>
              <w:jc w:val="right"/>
              <w:rPr>
                <w:sz w:val="20"/>
              </w:rPr>
            </w:pPr>
            <w:r>
              <w:rPr>
                <w:sz w:val="20"/>
              </w:rPr>
              <w:tab/>
              <w:t>130,512</w:t>
            </w:r>
          </w:p>
        </w:tc>
      </w:tr>
      <w:tr>
        <w:trPr/>
        <w:tc>
          <w:tcPr>
            <w:tcW w:w="5495" w:type="dxa"/>
            <w:tcBorders/>
            <w:shd w:fill="FFFFFF" w:val="clear"/>
            <w:vAlign w:val="center"/>
          </w:tcPr>
          <w:p>
            <w:pPr>
              <w:pStyle w:val="TableContents"/>
              <w:bidi w:val="0"/>
              <w:spacing w:before="0" w:after="283"/>
              <w:jc w:val="left"/>
              <w:rPr>
                <w:sz w:val="20"/>
              </w:rPr>
            </w:pPr>
            <w:r>
              <w:rPr>
                <w:sz w:val="20"/>
              </w:rPr>
              <w:t>Contingent consideration payable (b)</w:t>
            </w:r>
          </w:p>
        </w:tc>
        <w:tc>
          <w:tcPr>
            <w:tcW w:w="1145" w:type="dxa"/>
            <w:tcBorders/>
            <w:shd w:fill="FFFFFF" w:val="clear"/>
            <w:vAlign w:val="center"/>
          </w:tcPr>
          <w:p>
            <w:pPr>
              <w:pStyle w:val="TableContents"/>
              <w:bidi w:val="0"/>
              <w:spacing w:before="0" w:after="283"/>
              <w:jc w:val="right"/>
              <w:rPr>
                <w:sz w:val="20"/>
              </w:rPr>
            </w:pPr>
            <w:r>
              <w:rPr>
                <w:sz w:val="20"/>
              </w:rPr>
              <w:t>46,479</w:t>
            </w:r>
          </w:p>
        </w:tc>
        <w:tc>
          <w:tcPr>
            <w:tcW w:w="1610" w:type="dxa"/>
            <w:tcBorders/>
            <w:shd w:fill="FFFFFF" w:val="clear"/>
            <w:vAlign w:val="center"/>
          </w:tcPr>
          <w:p>
            <w:pPr>
              <w:pStyle w:val="TableContents"/>
              <w:bidi w:val="0"/>
              <w:spacing w:before="0" w:after="283"/>
              <w:jc w:val="right"/>
              <w:rPr>
                <w:sz w:val="20"/>
              </w:rPr>
            </w:pPr>
            <w:r>
              <w:rPr>
                <w:sz w:val="20"/>
              </w:rPr>
              <w:tab/>
              <w:t>41,429</w:t>
            </w:r>
          </w:p>
        </w:tc>
      </w:tr>
      <w:tr>
        <w:trPr/>
        <w:tc>
          <w:tcPr>
            <w:tcW w:w="5495" w:type="dxa"/>
            <w:tcBorders/>
            <w:shd w:fill="D5EAEA" w:val="clear"/>
            <w:vAlign w:val="center"/>
          </w:tcPr>
          <w:p>
            <w:pPr>
              <w:pStyle w:val="TableContents"/>
              <w:bidi w:val="0"/>
              <w:spacing w:before="0" w:after="283"/>
              <w:jc w:val="left"/>
              <w:rPr>
                <w:sz w:val="20"/>
              </w:rPr>
            </w:pPr>
            <w:r>
              <w:rPr>
                <w:sz w:val="20"/>
              </w:rPr>
              <w:t>Deferred consideration payable (c)</w:t>
            </w:r>
          </w:p>
        </w:tc>
        <w:tc>
          <w:tcPr>
            <w:tcW w:w="1145" w:type="dxa"/>
            <w:tcBorders/>
            <w:shd w:fill="D5EAEA" w:val="clear"/>
            <w:vAlign w:val="center"/>
          </w:tcPr>
          <w:p>
            <w:pPr>
              <w:pStyle w:val="TableContents"/>
              <w:bidi w:val="0"/>
              <w:spacing w:before="0" w:after="283"/>
              <w:jc w:val="right"/>
              <w:rPr>
                <w:sz w:val="20"/>
              </w:rPr>
            </w:pPr>
            <w:r>
              <w:rPr>
                <w:sz w:val="20"/>
              </w:rPr>
              <w:tab/>
              <w:t>10,808</w:t>
            </w:r>
          </w:p>
        </w:tc>
        <w:tc>
          <w:tcPr>
            <w:tcW w:w="1610" w:type="dxa"/>
            <w:tcBorders/>
            <w:shd w:fill="D5EAEA" w:val="clear"/>
            <w:vAlign w:val="center"/>
          </w:tcPr>
          <w:p>
            <w:pPr>
              <w:pStyle w:val="TableContents"/>
              <w:bidi w:val="0"/>
              <w:spacing w:before="0" w:after="283"/>
              <w:jc w:val="right"/>
              <w:rPr>
                <w:sz w:val="20"/>
              </w:rPr>
            </w:pPr>
            <w:r>
              <w:rPr>
                <w:sz w:val="20"/>
              </w:rPr>
              <w:tab/>
              <w:t>10,100</w:t>
            </w:r>
          </w:p>
        </w:tc>
      </w:tr>
      <w:tr>
        <w:trPr/>
        <w:tc>
          <w:tcPr>
            <w:tcW w:w="5495" w:type="dxa"/>
            <w:tcBorders/>
            <w:shd w:fill="FFFFFF" w:val="clear"/>
            <w:vAlign w:val="center"/>
          </w:tcPr>
          <w:p>
            <w:pPr>
              <w:pStyle w:val="TableContents"/>
              <w:bidi w:val="0"/>
              <w:spacing w:before="0" w:after="283"/>
              <w:jc w:val="left"/>
              <w:rPr>
                <w:sz w:val="20"/>
              </w:rPr>
            </w:pPr>
            <w:r>
              <w:rPr>
                <w:sz w:val="20"/>
              </w:rPr>
              <w:t>Other consideration payable</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ab/>
              <w:t>2,557</w:t>
            </w:r>
          </w:p>
        </w:tc>
        <w:tc>
          <w:tcPr>
            <w:tcW w:w="16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ab/>
              <w:t>2,393</w:t>
            </w:r>
          </w:p>
        </w:tc>
      </w:tr>
      <w:tr>
        <w:trPr/>
        <w:tc>
          <w:tcPr>
            <w:tcW w:w="5495" w:type="dxa"/>
            <w:tcBorders/>
            <w:shd w:fill="D5EAEA" w:val="clear"/>
            <w:vAlign w:val="center"/>
          </w:tcPr>
          <w:p>
            <w:pPr>
              <w:pStyle w:val="TableContents"/>
              <w:bidi w:val="0"/>
              <w:spacing w:before="0" w:after="283"/>
              <w:jc w:val="left"/>
              <w:rPr>
                <w:b/>
                <w:sz w:val="20"/>
              </w:rPr>
            </w:pPr>
            <w:r>
              <w:rPr>
                <w:b/>
                <w:sz w:val="20"/>
              </w:rPr>
              <w:t>Total consideration payable from acquisitions</w:t>
            </w:r>
          </w:p>
        </w:tc>
        <w:tc>
          <w:tcPr>
            <w:tcW w:w="114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ab/>
              <w:t>237,408</w:t>
            </w:r>
          </w:p>
        </w:tc>
        <w:tc>
          <w:tcPr>
            <w:tcW w:w="1610"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ab/>
              <w:t>184,434</w:t>
            </w:r>
          </w:p>
        </w:tc>
      </w:tr>
      <w:tr>
        <w:trPr/>
        <w:tc>
          <w:tcPr>
            <w:tcW w:w="549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1610" w:type="dxa"/>
            <w:tcBorders/>
            <w:shd w:fill="FFFFFF" w:val="clear"/>
            <w:vAlign w:val="center"/>
          </w:tcPr>
          <w:p>
            <w:pPr>
              <w:pStyle w:val="TableContents"/>
              <w:bidi w:val="0"/>
              <w:spacing w:before="0" w:after="283"/>
              <w:jc w:val="right"/>
              <w:rPr/>
            </w:pPr>
            <w:r>
              <w:rPr/>
              <w:t> </w:t>
            </w:r>
          </w:p>
        </w:tc>
      </w:tr>
      <w:tr>
        <w:trPr/>
        <w:tc>
          <w:tcPr>
            <w:tcW w:w="5495" w:type="dxa"/>
            <w:tcBorders/>
            <w:shd w:fill="D5EAEA" w:val="clear"/>
            <w:vAlign w:val="center"/>
          </w:tcPr>
          <w:p>
            <w:pPr>
              <w:pStyle w:val="TableContents"/>
              <w:bidi w:val="0"/>
              <w:spacing w:before="0" w:after="283"/>
              <w:jc w:val="left"/>
              <w:rPr>
                <w:sz w:val="20"/>
              </w:rPr>
            </w:pPr>
            <w:r>
              <w:rPr>
                <w:sz w:val="20"/>
              </w:rPr>
              <w:t>Consideration payable from acquisition (a)</w:t>
            </w:r>
          </w:p>
        </w:tc>
        <w:tc>
          <w:tcPr>
            <w:tcW w:w="1145" w:type="dxa"/>
            <w:tcBorders/>
            <w:shd w:fill="D5EAEA" w:val="clear"/>
            <w:vAlign w:val="center"/>
          </w:tcPr>
          <w:p>
            <w:pPr>
              <w:pStyle w:val="TableContents"/>
              <w:bidi w:val="0"/>
              <w:spacing w:before="0" w:after="283"/>
              <w:jc w:val="right"/>
              <w:rPr>
                <w:sz w:val="20"/>
              </w:rPr>
            </w:pPr>
            <w:r>
              <w:rPr>
                <w:sz w:val="20"/>
              </w:rPr>
              <w:t>109,690</w:t>
            </w:r>
          </w:p>
        </w:tc>
        <w:tc>
          <w:tcPr>
            <w:tcW w:w="1610" w:type="dxa"/>
            <w:tcBorders/>
            <w:shd w:fill="D5EAEA" w:val="clear"/>
            <w:vAlign w:val="center"/>
          </w:tcPr>
          <w:p>
            <w:pPr>
              <w:pStyle w:val="TableContents"/>
              <w:bidi w:val="0"/>
              <w:spacing w:before="0" w:after="283"/>
              <w:jc w:val="right"/>
              <w:rPr>
                <w:sz w:val="20"/>
              </w:rPr>
            </w:pPr>
            <w:r>
              <w:rPr>
                <w:sz w:val="20"/>
              </w:rPr>
              <w:t>102,382</w:t>
            </w:r>
          </w:p>
        </w:tc>
      </w:tr>
      <w:tr>
        <w:trPr/>
        <w:tc>
          <w:tcPr>
            <w:tcW w:w="5495" w:type="dxa"/>
            <w:tcBorders/>
            <w:shd w:fill="FFFFFF" w:val="clear"/>
            <w:vAlign w:val="center"/>
          </w:tcPr>
          <w:p>
            <w:pPr>
              <w:pStyle w:val="TableContents"/>
              <w:bidi w:val="0"/>
              <w:spacing w:before="0" w:after="283"/>
              <w:jc w:val="left"/>
              <w:rPr>
                <w:sz w:val="20"/>
              </w:rPr>
            </w:pPr>
            <w:r>
              <w:rPr>
                <w:sz w:val="20"/>
              </w:rPr>
              <w:t>Contingent consideration payable (b)</w:t>
            </w:r>
          </w:p>
        </w:tc>
        <w:tc>
          <w:tcPr>
            <w:tcW w:w="1145" w:type="dxa"/>
            <w:tcBorders/>
            <w:shd w:fill="FFFFFF" w:val="clear"/>
            <w:vAlign w:val="center"/>
          </w:tcPr>
          <w:p>
            <w:pPr>
              <w:pStyle w:val="TableContents"/>
              <w:bidi w:val="0"/>
              <w:spacing w:before="0" w:after="283"/>
              <w:jc w:val="right"/>
              <w:rPr>
                <w:b/>
              </w:rPr>
            </w:pPr>
            <w:r>
              <w:rPr>
                <w:b/>
              </w:rPr>
              <w:t>-</w:t>
            </w:r>
          </w:p>
        </w:tc>
        <w:tc>
          <w:tcPr>
            <w:tcW w:w="1610" w:type="dxa"/>
            <w:tcBorders/>
            <w:shd w:fill="FFFFFF" w:val="clear"/>
            <w:vAlign w:val="center"/>
          </w:tcPr>
          <w:p>
            <w:pPr>
              <w:pStyle w:val="TableContents"/>
              <w:bidi w:val="0"/>
              <w:spacing w:before="0" w:after="283"/>
              <w:jc w:val="right"/>
              <w:rPr>
                <w:sz w:val="20"/>
              </w:rPr>
            </w:pPr>
            <w:r>
              <w:rPr>
                <w:sz w:val="20"/>
              </w:rPr>
              <w:tab/>
              <w:t>7,021</w:t>
            </w:r>
          </w:p>
        </w:tc>
      </w:tr>
      <w:tr>
        <w:trPr/>
        <w:tc>
          <w:tcPr>
            <w:tcW w:w="5495" w:type="dxa"/>
            <w:tcBorders/>
            <w:shd w:fill="D5EAEA" w:val="clear"/>
            <w:vAlign w:val="center"/>
          </w:tcPr>
          <w:p>
            <w:pPr>
              <w:pStyle w:val="TableContents"/>
              <w:bidi w:val="0"/>
              <w:spacing w:before="0" w:after="283"/>
              <w:jc w:val="left"/>
              <w:rPr>
                <w:sz w:val="20"/>
              </w:rPr>
            </w:pPr>
            <w:r>
              <w:rPr>
                <w:sz w:val="20"/>
              </w:rPr>
              <w:t>Deferred consideration payable (c)</w:t>
            </w:r>
          </w:p>
        </w:tc>
        <w:tc>
          <w:tcPr>
            <w:tcW w:w="1145" w:type="dxa"/>
            <w:tcBorders/>
            <w:shd w:fill="D5EAEA" w:val="clear"/>
            <w:vAlign w:val="center"/>
          </w:tcPr>
          <w:p>
            <w:pPr>
              <w:pStyle w:val="TableContents"/>
              <w:bidi w:val="0"/>
              <w:spacing w:before="0" w:after="283"/>
              <w:jc w:val="right"/>
              <w:rPr>
                <w:sz w:val="20"/>
              </w:rPr>
            </w:pPr>
            <w:r>
              <w:rPr>
                <w:sz w:val="20"/>
              </w:rPr>
              <w:tab/>
              <w:t>5,423</w:t>
            </w:r>
          </w:p>
        </w:tc>
        <w:tc>
          <w:tcPr>
            <w:tcW w:w="1610" w:type="dxa"/>
            <w:tcBorders/>
            <w:shd w:fill="D5EAEA" w:val="clear"/>
            <w:vAlign w:val="center"/>
          </w:tcPr>
          <w:p>
            <w:pPr>
              <w:pStyle w:val="TableContents"/>
              <w:bidi w:val="0"/>
              <w:spacing w:before="0" w:after="283"/>
              <w:jc w:val="right"/>
              <w:rPr>
                <w:sz w:val="20"/>
              </w:rPr>
            </w:pPr>
            <w:r>
              <w:rPr>
                <w:sz w:val="20"/>
              </w:rPr>
              <w:tab/>
              <w:t>9,056</w:t>
            </w:r>
          </w:p>
        </w:tc>
      </w:tr>
      <w:tr>
        <w:trPr/>
        <w:tc>
          <w:tcPr>
            <w:tcW w:w="5495" w:type="dxa"/>
            <w:tcBorders/>
            <w:shd w:fill="FFFFFF" w:val="clear"/>
            <w:vAlign w:val="center"/>
          </w:tcPr>
          <w:p>
            <w:pPr>
              <w:pStyle w:val="TableContents"/>
              <w:bidi w:val="0"/>
              <w:spacing w:before="0" w:after="283"/>
              <w:jc w:val="left"/>
              <w:rPr>
                <w:sz w:val="20"/>
              </w:rPr>
            </w:pPr>
            <w:r>
              <w:rPr>
                <w:sz w:val="20"/>
              </w:rPr>
              <w:t>Other consideration payable</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ab/>
              <w:t>2,557</w:t>
            </w:r>
          </w:p>
        </w:tc>
        <w:tc>
          <w:tcPr>
            <w:tcW w:w="16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r>
      <w:tr>
        <w:trPr/>
        <w:tc>
          <w:tcPr>
            <w:tcW w:w="5495" w:type="dxa"/>
            <w:tcBorders/>
            <w:shd w:fill="D5EAEA" w:val="clear"/>
            <w:vAlign w:val="center"/>
          </w:tcPr>
          <w:p>
            <w:pPr>
              <w:pStyle w:val="TableContents"/>
              <w:bidi w:val="0"/>
              <w:spacing w:before="0" w:after="283"/>
              <w:jc w:val="left"/>
              <w:rPr>
                <w:b/>
                <w:sz w:val="20"/>
              </w:rPr>
            </w:pPr>
            <w:r>
              <w:rPr>
                <w:b/>
                <w:sz w:val="20"/>
              </w:rPr>
              <w:t>Current liabilities – consideration payable from acquisitions</w:t>
            </w:r>
          </w:p>
        </w:tc>
        <w:tc>
          <w:tcPr>
            <w:tcW w:w="114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117,670</w:t>
            </w:r>
          </w:p>
        </w:tc>
        <w:tc>
          <w:tcPr>
            <w:tcW w:w="1610"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ab/>
              <w:t>118,459</w:t>
            </w:r>
          </w:p>
        </w:tc>
      </w:tr>
      <w:tr>
        <w:trPr/>
        <w:tc>
          <w:tcPr>
            <w:tcW w:w="549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1610" w:type="dxa"/>
            <w:tcBorders/>
            <w:shd w:fill="FFFFFF" w:val="clear"/>
            <w:vAlign w:val="center"/>
          </w:tcPr>
          <w:p>
            <w:pPr>
              <w:pStyle w:val="TableContents"/>
              <w:bidi w:val="0"/>
              <w:spacing w:before="0" w:after="283"/>
              <w:jc w:val="right"/>
              <w:rPr/>
            </w:pPr>
            <w:r>
              <w:rPr/>
              <w:t> </w:t>
            </w:r>
          </w:p>
        </w:tc>
      </w:tr>
      <w:tr>
        <w:trPr/>
        <w:tc>
          <w:tcPr>
            <w:tcW w:w="5495" w:type="dxa"/>
            <w:tcBorders/>
            <w:shd w:fill="D5EAEA" w:val="clear"/>
            <w:vAlign w:val="center"/>
          </w:tcPr>
          <w:p>
            <w:pPr>
              <w:pStyle w:val="TableContents"/>
              <w:bidi w:val="0"/>
              <w:spacing w:before="0" w:after="283"/>
              <w:jc w:val="left"/>
              <w:rPr>
                <w:sz w:val="20"/>
              </w:rPr>
            </w:pPr>
            <w:r>
              <w:rPr>
                <w:sz w:val="20"/>
              </w:rPr>
              <w:t>Consideration payable from acquisition (a)</w:t>
            </w:r>
          </w:p>
        </w:tc>
        <w:tc>
          <w:tcPr>
            <w:tcW w:w="1145" w:type="dxa"/>
            <w:tcBorders/>
            <w:shd w:fill="D5EAEA" w:val="clear"/>
            <w:vAlign w:val="center"/>
          </w:tcPr>
          <w:p>
            <w:pPr>
              <w:pStyle w:val="TableContents"/>
              <w:bidi w:val="0"/>
              <w:spacing w:before="0" w:after="283"/>
              <w:jc w:val="right"/>
              <w:rPr>
                <w:sz w:val="20"/>
              </w:rPr>
            </w:pPr>
            <w:r>
              <w:rPr>
                <w:sz w:val="20"/>
              </w:rPr>
              <w:tab/>
              <w:t>67,874</w:t>
            </w:r>
          </w:p>
        </w:tc>
        <w:tc>
          <w:tcPr>
            <w:tcW w:w="1610" w:type="dxa"/>
            <w:tcBorders/>
            <w:shd w:fill="D5EAEA" w:val="clear"/>
            <w:vAlign w:val="center"/>
          </w:tcPr>
          <w:p>
            <w:pPr>
              <w:pStyle w:val="TableContents"/>
              <w:bidi w:val="0"/>
              <w:spacing w:before="0" w:after="283"/>
              <w:jc w:val="right"/>
              <w:rPr>
                <w:sz w:val="20"/>
              </w:rPr>
            </w:pPr>
            <w:r>
              <w:rPr>
                <w:sz w:val="20"/>
              </w:rPr>
              <w:tab/>
              <w:t>28,130</w:t>
            </w:r>
          </w:p>
        </w:tc>
      </w:tr>
      <w:tr>
        <w:trPr/>
        <w:tc>
          <w:tcPr>
            <w:tcW w:w="5495" w:type="dxa"/>
            <w:tcBorders/>
            <w:shd w:fill="FFFFFF" w:val="clear"/>
            <w:vAlign w:val="center"/>
          </w:tcPr>
          <w:p>
            <w:pPr>
              <w:pStyle w:val="TableContents"/>
              <w:bidi w:val="0"/>
              <w:spacing w:before="0" w:after="283"/>
              <w:jc w:val="left"/>
              <w:rPr>
                <w:sz w:val="20"/>
              </w:rPr>
            </w:pPr>
            <w:r>
              <w:rPr>
                <w:sz w:val="20"/>
              </w:rPr>
              <w:t>Contingent consideration payable (b)</w:t>
            </w:r>
          </w:p>
        </w:tc>
        <w:tc>
          <w:tcPr>
            <w:tcW w:w="1145" w:type="dxa"/>
            <w:tcBorders/>
            <w:shd w:fill="FFFFFF" w:val="clear"/>
            <w:vAlign w:val="center"/>
          </w:tcPr>
          <w:p>
            <w:pPr>
              <w:pStyle w:val="TableContents"/>
              <w:bidi w:val="0"/>
              <w:spacing w:before="0" w:after="283"/>
              <w:jc w:val="right"/>
              <w:rPr>
                <w:sz w:val="20"/>
              </w:rPr>
            </w:pPr>
            <w:r>
              <w:rPr>
                <w:sz w:val="20"/>
              </w:rPr>
              <w:tab/>
              <w:t>46,479</w:t>
            </w:r>
          </w:p>
        </w:tc>
        <w:tc>
          <w:tcPr>
            <w:tcW w:w="1610" w:type="dxa"/>
            <w:tcBorders/>
            <w:shd w:fill="FFFFFF" w:val="clear"/>
            <w:vAlign w:val="center"/>
          </w:tcPr>
          <w:p>
            <w:pPr>
              <w:pStyle w:val="TableContents"/>
              <w:bidi w:val="0"/>
              <w:spacing w:before="0" w:after="283"/>
              <w:jc w:val="right"/>
              <w:rPr>
                <w:sz w:val="20"/>
              </w:rPr>
            </w:pPr>
            <w:r>
              <w:rPr>
                <w:sz w:val="20"/>
              </w:rPr>
              <w:tab/>
              <w:t>34,408</w:t>
            </w:r>
          </w:p>
        </w:tc>
      </w:tr>
      <w:tr>
        <w:trPr/>
        <w:tc>
          <w:tcPr>
            <w:tcW w:w="5495" w:type="dxa"/>
            <w:tcBorders/>
            <w:shd w:fill="D5EAEA" w:val="clear"/>
            <w:vAlign w:val="center"/>
          </w:tcPr>
          <w:p>
            <w:pPr>
              <w:pStyle w:val="TableContents"/>
              <w:bidi w:val="0"/>
              <w:spacing w:before="0" w:after="283"/>
              <w:jc w:val="left"/>
              <w:rPr>
                <w:sz w:val="20"/>
              </w:rPr>
            </w:pPr>
            <w:r>
              <w:rPr>
                <w:sz w:val="20"/>
              </w:rPr>
              <w:t>Deferred consideration payable (c)</w:t>
            </w:r>
          </w:p>
        </w:tc>
        <w:tc>
          <w:tcPr>
            <w:tcW w:w="1145" w:type="dxa"/>
            <w:tcBorders/>
            <w:shd w:fill="D5EAEA" w:val="clear"/>
            <w:vAlign w:val="center"/>
          </w:tcPr>
          <w:p>
            <w:pPr>
              <w:pStyle w:val="TableContents"/>
              <w:bidi w:val="0"/>
              <w:spacing w:before="0" w:after="283"/>
              <w:jc w:val="right"/>
              <w:rPr>
                <w:sz w:val="20"/>
              </w:rPr>
            </w:pPr>
            <w:r>
              <w:rPr>
                <w:sz w:val="20"/>
              </w:rPr>
              <w:tab/>
              <w:t>5,385</w:t>
            </w:r>
          </w:p>
        </w:tc>
        <w:tc>
          <w:tcPr>
            <w:tcW w:w="1610" w:type="dxa"/>
            <w:tcBorders/>
            <w:shd w:fill="D5EAEA" w:val="clear"/>
            <w:vAlign w:val="center"/>
          </w:tcPr>
          <w:p>
            <w:pPr>
              <w:pStyle w:val="TableContents"/>
              <w:bidi w:val="0"/>
              <w:spacing w:before="0" w:after="283"/>
              <w:jc w:val="right"/>
              <w:rPr>
                <w:sz w:val="20"/>
              </w:rPr>
            </w:pPr>
            <w:r>
              <w:rPr>
                <w:sz w:val="20"/>
              </w:rPr>
              <w:tab/>
              <w:t>1,044</w:t>
            </w:r>
          </w:p>
        </w:tc>
      </w:tr>
      <w:tr>
        <w:trPr/>
        <w:tc>
          <w:tcPr>
            <w:tcW w:w="5495" w:type="dxa"/>
            <w:tcBorders/>
            <w:shd w:fill="FFFFFF" w:val="clear"/>
            <w:vAlign w:val="center"/>
          </w:tcPr>
          <w:p>
            <w:pPr>
              <w:pStyle w:val="TableContents"/>
              <w:bidi w:val="0"/>
              <w:spacing w:before="0" w:after="283"/>
              <w:jc w:val="left"/>
              <w:rPr>
                <w:sz w:val="20"/>
              </w:rPr>
            </w:pPr>
            <w:r>
              <w:rPr>
                <w:sz w:val="20"/>
              </w:rPr>
              <w:t xml:space="preserve">Other consideration payable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pPr>
            <w:r>
              <w:rPr>
                <w:sz w:val="20"/>
              </w:rPr>
              <w:tab/>
            </w:r>
            <w:r>
              <w:rPr>
                <w:b/>
              </w:rPr>
              <w:t>-</w:t>
            </w:r>
          </w:p>
        </w:tc>
        <w:tc>
          <w:tcPr>
            <w:tcW w:w="16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ab/>
              <w:t>2,393</w:t>
            </w:r>
          </w:p>
        </w:tc>
      </w:tr>
      <w:tr>
        <w:trPr/>
        <w:tc>
          <w:tcPr>
            <w:tcW w:w="5495" w:type="dxa"/>
            <w:tcBorders/>
            <w:shd w:fill="D5EAEA" w:val="clear"/>
            <w:vAlign w:val="center"/>
          </w:tcPr>
          <w:p>
            <w:pPr>
              <w:pStyle w:val="TableContents"/>
              <w:bidi w:val="0"/>
              <w:spacing w:before="0" w:after="283"/>
              <w:jc w:val="left"/>
              <w:rPr>
                <w:b/>
                <w:sz w:val="20"/>
              </w:rPr>
            </w:pPr>
            <w:r>
              <w:rPr>
                <w:b/>
                <w:sz w:val="20"/>
              </w:rPr>
              <w:t>Non-current liabilities – consideration payable from acquisitions</w:t>
            </w:r>
          </w:p>
        </w:tc>
        <w:tc>
          <w:tcPr>
            <w:tcW w:w="114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ab/>
              <w:t>119,738</w:t>
            </w:r>
          </w:p>
        </w:tc>
        <w:tc>
          <w:tcPr>
            <w:tcW w:w="1610"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ab/>
              <w:t>65,975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sz w:val="20"/>
              </w:rPr>
            </w:pPr>
            <w:r>
              <w:rPr>
                <w:sz w:val="20"/>
              </w:rPr>
              <w:t>Consideration payable from acquisition is comprised of outstanding purchase prices payable for the acquisition of businesses and fund management rights. The consideration payable balances outstanding on June 30, 2026, are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sz w:val="20"/>
              </w:rPr>
            </w:pPr>
            <w:r>
              <w:rPr>
                <w:sz w:val="20"/>
              </w:rPr>
              <w:t>On August 1, 2024, the Company exercised its option to acquire the remaining 50% interest in VBI from the non-controlling interest. The option arrangement was put in place between the Company and the non-controlling interest of VBI upon the business combination that took place during July 2022. The option arrangement includes the acquisition of 50% common shares and the preferred stock from previous owners of VBI. The consideration of R$404.5 million (US$73.5 million) for the 50% common shares of VBI will be settled through cash (R$229.2 million or US$41.7 million) and the issue of Class A common shares of the Company (R$175.3 million or US$31.9 million). The cash consideration will be/was settled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078"/>
        <w:gridCol w:w="9079"/>
      </w:tblGrid>
      <w:tr>
        <w:trPr/>
        <w:tc>
          <w:tcPr>
            <w:tcW w:w="4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pPr>
            <w:r>
              <w:rPr/>
              <w:t>&amp;squarf;</w:t>
            </w:r>
          </w:p>
        </w:tc>
        <w:tc>
          <w:tcPr>
            <w:tcW w:w="9079" w:type="dxa"/>
            <w:tcBorders/>
            <w:vAlign w:val="center"/>
          </w:tcPr>
          <w:p>
            <w:pPr>
              <w:pStyle w:val="TableContents"/>
              <w:bidi w:val="0"/>
              <w:spacing w:before="0" w:after="283"/>
              <w:jc w:val="both"/>
              <w:rPr>
                <w:sz w:val="20"/>
              </w:rPr>
            </w:pPr>
            <w:r>
              <w:rPr>
                <w:sz w:val="20"/>
              </w:rPr>
              <w:t>R$22.2 million (US$4.2 million) on closing date (amount was paid on August 1,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869"/>
        <w:gridCol w:w="9298"/>
      </w:tblGrid>
      <w:tr>
        <w:trPr/>
        <w:tc>
          <w:tcPr>
            <w:tcW w:w="3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pPr>
            <w:r>
              <w:rPr/>
              <w:t>&amp;squarf;</w:t>
            </w:r>
          </w:p>
        </w:tc>
        <w:tc>
          <w:tcPr>
            <w:tcW w:w="9298" w:type="dxa"/>
            <w:tcBorders/>
            <w:vAlign w:val="center"/>
          </w:tcPr>
          <w:p>
            <w:pPr>
              <w:pStyle w:val="TableContents"/>
              <w:bidi w:val="0"/>
              <w:spacing w:before="0" w:after="283"/>
              <w:jc w:val="both"/>
              <w:rPr>
                <w:sz w:val="20"/>
              </w:rPr>
            </w:pPr>
            <w:r>
              <w:rPr>
                <w:sz w:val="20"/>
              </w:rPr>
              <w:t>R$98.4 million (US$18.3 million) twelve months after closing date (amount was paid on August 13, 2025);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001"/>
        <w:gridCol w:w="9159"/>
      </w:tblGrid>
      <w:tr>
        <w:trPr/>
        <w:tc>
          <w:tcPr>
            <w:tcW w:w="4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pPr>
            <w:r>
              <w:rPr/>
              <w:t>&amp;squarf;</w:t>
            </w:r>
          </w:p>
        </w:tc>
        <w:tc>
          <w:tcPr>
            <w:tcW w:w="9159" w:type="dxa"/>
            <w:tcBorders/>
            <w:vAlign w:val="center"/>
          </w:tcPr>
          <w:p>
            <w:pPr>
              <w:pStyle w:val="TableContents"/>
              <w:bidi w:val="0"/>
              <w:spacing w:before="0" w:after="283"/>
              <w:jc w:val="both"/>
              <w:rPr>
                <w:sz w:val="20"/>
              </w:rPr>
            </w:pPr>
            <w:r>
              <w:rPr>
                <w:sz w:val="20"/>
              </w:rPr>
              <w:t>R$108.6 million (US$19.7 million) twenty-four months after the closing date (August 1,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64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of R$38.7 million (US$7.1 million) is to be settled in cash. The first payment of R$3.8 million (US$0.7 million) was made on August 1, 2024, with a second payment of R$4.2 million (US$0.8 million) on July 31, 2025.</w:t>
      </w:r>
    </w:p>
    <w:p>
      <w:pPr>
        <w:pStyle w:val="TextBody"/>
        <w:bidi w:val="0"/>
        <w:spacing w:before="0" w:after="0"/>
        <w:ind w:left="644" w:right="0" w:hanging="0"/>
        <w:jc w:val="both"/>
        <w:rPr>
          <w:caps w:val="false"/>
          <w:smallCaps w:val="false"/>
        </w:rPr>
      </w:pPr>
      <w:r>
        <w:rPr>
          <w:caps w:val="false"/>
          <w:smallCaps w:val="false"/>
        </w:rPr>
        <w:t> </w:t>
      </w:r>
    </w:p>
    <w:p>
      <w:pPr>
        <w:pStyle w:val="TextBody"/>
        <w:bidi w:val="0"/>
        <w:spacing w:before="0" w:after="0"/>
        <w:ind w:left="64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the Company issued 1,074,339 Class A common shares of the Company (approximately US$18.7 million) settling the equity portion of the consideration payable - refer to note 33. Additionally, on January 29, 2026, the Company paid US$2.7 million in cash as settlement of the cash consideration payable. On June 30, 2026, US$23.6 million remains payable (December 31, 2025: US$39.6 million).</w:t>
      </w:r>
    </w:p>
    <w:p>
      <w:pPr>
        <w:pStyle w:val="TextBody"/>
        <w:bidi w:val="0"/>
        <w:spacing w:before="0" w:after="0"/>
        <w:ind w:left="644"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sz w:val="20"/>
              </w:rPr>
            </w:pPr>
            <w:r>
              <w:rPr>
                <w:sz w:val="20"/>
              </w:rPr>
              <w:t xml:space="preserve">On December 23, 2024, the Company entered into an agreement acquiring an additional 29.72% interest in Igah IV for R$24.3 million (US$4.4 million) that will be settled in cash between the years 2024 and 2028 (adjusted for time value of money using the Brazilian interbank deposit (“CDI”)). The Company settled the amount of R$4.1 million (US$0.8 million) during December 2024 and R$2.9 million (US$0.5 million) during 2025. During first quarter of 2026, the Company paid US$1.3 million in cash. On June 30, 2026, a balance of US$1.8 million remains payable (December 31, 2025: US$2.8 million).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sz w:val="20"/>
              </w:rPr>
            </w:pPr>
            <w:r>
              <w:rPr>
                <w:sz w:val="20"/>
              </w:rPr>
              <w:t xml:space="preserve">The acquisition of CSHG in 2024 triggered a R$50.0 million (US$9.1 million) price adjustment to the consideration paid for the acquisition of VBI, of which R$25.0 million (US$4.9 million) was paid on April 1, 2024, issuing 337,992 Class A common shares of the Company. The remaining amount of R$28.4 million or US$5.2 million (equivalent to the R$25 million adjusted for time value of money using CDI) became due and payable on the finalization of CSHG funds transfer, of which R$8.3 million (US$1.5 million) was settled in cash on August 1, 2024, and R$9.5 million (US$1.8 million) on August 13, 2025.The remaining payable of R$10.6 million (US$1.9 million) was outstanding as of December 31, 2025. In April and May 2026, the outstanding balance was fully settled, in 158,309 Class A common shares, adjusted for time value of money using CDI (equivalent to R$13.3 million US$2.6 million).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both"/>
              <w:rPr>
                <w:sz w:val="20"/>
              </w:rPr>
            </w:pPr>
            <w:r>
              <w:rPr>
                <w:sz w:val="20"/>
              </w:rPr>
              <w:t>On April 26, 2024, the Company acquired a carve-out interest in Abrdn Investment Management Limited. The Company paid the amount of US$20.1 million on February 06, 2025, with a balance of US$29.0 million outstanding on March 31, 2026 (December 31, 2025: US$29.0 million). The outstanding amount was settled on April 24,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8" w:type="dxa"/>
            <w:tcBorders/>
            <w:vAlign w:val="center"/>
          </w:tcPr>
          <w:p>
            <w:pPr>
              <w:pStyle w:val="TableContents"/>
              <w:bidi w:val="0"/>
              <w:spacing w:before="0" w:after="283"/>
              <w:jc w:val="both"/>
              <w:rPr>
                <w:sz w:val="20"/>
              </w:rPr>
            </w:pPr>
            <w:r>
              <w:rPr>
                <w:sz w:val="20"/>
              </w:rPr>
              <w:t xml:space="preserve">On July 1, 2025, the Company acquired the contractual rights of Vectis Gestão de Recursos for R$100.0 million (US$18.3 million) through Patria VBI Securities Ltda. R$25.0 million (US$4.6 million) was paid on July 1, 2025, with the outstanding contractual balance of R$75.0 million (US$13.7 million) to be settled within the next thirty-six months. On June 30, 2026, a balance of R$86.0 million (US$16.6 million) remains payable, after being adjusted for time value of money using CDI.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8" w:type="dxa"/>
            <w:tcBorders/>
            <w:vAlign w:val="center"/>
          </w:tcPr>
          <w:p>
            <w:pPr>
              <w:pStyle w:val="TableContents"/>
              <w:bidi w:val="0"/>
              <w:spacing w:before="0" w:after="283"/>
              <w:jc w:val="both"/>
              <w:rPr>
                <w:sz w:val="20"/>
              </w:rPr>
            </w:pPr>
            <w:r>
              <w:rPr>
                <w:sz w:val="20"/>
              </w:rPr>
              <w:t xml:space="preserve">On July 15, 2025, the Company acquired the fund management rights of Genial Gestão and Plural Gestão de Recursos for R$82.0 million (US$14.9 million). The amount of R$31.6 million (US$5.9 million) was paid in cash at acquisition with the remaining contractual balance of R$50.4 million (US$9 million) payable in two equal installments on January 31, 2026, and June 30, 2026. On January 29, 2026, and June 30, 2026, the Company paid R$25.3 million (US$4.6 million) and R$27.1 million (US$5.3 million) respectively in cash (adjusted for time value of money using CDI) with a balance of R$2.8 million (US$0.5 million) outstanding on June 30, 2026.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9848" w:type="dxa"/>
            <w:tcBorders/>
            <w:vAlign w:val="center"/>
          </w:tcPr>
          <w:p>
            <w:pPr>
              <w:pStyle w:val="TableContents"/>
              <w:bidi w:val="0"/>
              <w:spacing w:before="0" w:after="283"/>
              <w:jc w:val="both"/>
              <w:rPr>
                <w:sz w:val="20"/>
              </w:rPr>
            </w:pPr>
            <w:r>
              <w:rPr>
                <w:sz w:val="20"/>
              </w:rPr>
              <w:t>For the period ended June 30, 2026, no payments were due for the acquisition of Patria Asset Management (formerly BanColombia) with a balance of US$34.6 million that remains payable (December 31, 2025: US$33.0 million), to be settled in cash from December 2026 to December 2030.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viii.</w:t>
            </w:r>
          </w:p>
        </w:tc>
        <w:tc>
          <w:tcPr>
            <w:tcW w:w="9788" w:type="dxa"/>
            <w:tcBorders/>
            <w:vAlign w:val="center"/>
          </w:tcPr>
          <w:p>
            <w:pPr>
              <w:pStyle w:val="TableContents"/>
              <w:bidi w:val="0"/>
              <w:spacing w:before="0" w:after="283"/>
              <w:jc w:val="both"/>
              <w:rPr>
                <w:sz w:val="20"/>
              </w:rPr>
            </w:pPr>
            <w:r>
              <w:rPr>
                <w:sz w:val="20"/>
              </w:rPr>
              <w:t xml:space="preserve">On January 2, 2026, the Company acquired Solis Investimentos Ltda and Iter Gestora De Recursos Ltda., for R$220.7 million (US$42.3 million). The amount of R$167.0 million (US$32.0 million) was paid during the period from January to March 2026, with the outstanding balance to be settled within the next 12 months (adjusted for time value of money using CDI). </w:t>
            </w:r>
            <w:r>
              <w:rPr>
                <w:color w:val="000000"/>
                <w:sz w:val="20"/>
              </w:rPr>
              <w:t>During the period April 1 to June 30, 2026, the Company recognized a purchase price adjustment related to the business combination with Solis Investimentos Ltda in the amount of R$0.7 million (US$0.1 million) and Iter in the amount of R$10.6 million (US$2.0 million) payable. In May 2026, the amount of R$0.7 million (US$0.1 million) was paid.</w:t>
            </w:r>
            <w:r>
              <w:rPr>
                <w:sz w:val="20"/>
              </w:rPr>
              <w:t xml:space="preserve"> On June 30, 2026, a balance of R$68.6 million (US$13.3 million) (adjusted for time value of money using CDI) remains payable to be settled.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ix.</w:t>
            </w:r>
          </w:p>
        </w:tc>
        <w:tc>
          <w:tcPr>
            <w:tcW w:w="9908" w:type="dxa"/>
            <w:tcBorders/>
            <w:vAlign w:val="center"/>
          </w:tcPr>
          <w:p>
            <w:pPr>
              <w:pStyle w:val="TableContents"/>
              <w:bidi w:val="0"/>
              <w:spacing w:before="0" w:after="283"/>
              <w:jc w:val="both"/>
              <w:rPr>
                <w:sz w:val="20"/>
              </w:rPr>
            </w:pPr>
            <w:r>
              <w:rPr>
                <w:sz w:val="20"/>
              </w:rPr>
              <w:t>On February 2, 2026, the Company acquired RBR Gestão de Recursos, for R$476.9 million (US$91.4 million). The amount of R$118.9 million (US$22.8 million) was paid in February 2026 with the balance to be settled over the next 36 months. The amount of R$5.3 million (US$1.0 million) was paid on April 01, 2026, with a balance of R$352.7 million (US$71.9 million) remaining payable (adjusted for time value of money using CDI).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9968" w:type="dxa"/>
            <w:tcBorders/>
            <w:vAlign w:val="center"/>
          </w:tcPr>
          <w:p>
            <w:pPr>
              <w:pStyle w:val="TableContents"/>
              <w:bidi w:val="0"/>
              <w:spacing w:before="0" w:after="283"/>
              <w:jc w:val="both"/>
              <w:rPr>
                <w:sz w:val="20"/>
              </w:rPr>
            </w:pPr>
            <w:r>
              <w:rPr>
                <w:sz w:val="20"/>
              </w:rPr>
              <w:t>On April 1, 2026, the Company acquired WP Global Partners LLC, for US$50.5 million. The purchase price was comprised of multiple components, including: (i) US$15.0 million payable at closing, (ii) US$ 0.4 million payable due to the price adjustment post-closing (iii) US$15.0 million payable on April 1, 2027 (adjusted for time value of money using SOFR 3.63% + 0.45%), (iv) deferred consideration of US$8.4 million, and (v) a contingent earn-out component of US$11.7 million at the acquisition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sz w:val="20"/>
              </w:rPr>
            </w:pPr>
            <w:r>
              <w:rPr>
                <w:sz w:val="20"/>
              </w:rPr>
              <w:t>Contingent consideration payable is comprised of earn-outs payable to former owners of acquired businesses if agreed targets are reached. The contingent consideration balances outstanding on June 30, 2026, are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sz w:val="20"/>
              </w:rPr>
            </w:pPr>
            <w:r>
              <w:rPr>
                <w:sz w:val="20"/>
              </w:rPr>
              <w:t>The earn-out payable linked to the carve-out acquisition in Aberdeen Inc. had a fair value of US$29.1 million on June 30, 2026 (US$29.1 million on December 31, 2025) and remains payable on June 30,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sz w:val="20"/>
              </w:rPr>
            </w:pPr>
            <w:r>
              <w:rPr>
                <w:sz w:val="20"/>
              </w:rPr>
              <w:t>On December 31, 2025, the BlueMacaw earn-out payable was US$7.5 million. On April 7, 2026, the Company paid US$2.2 million, with the outstanding contractual balance of US$5.3 million (equivalent to US$5.8 million, adjusted for the time value of money using CDI as of June 30, 2026), which is payable on March 03, 2028.</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sz w:val="20"/>
              </w:rPr>
            </w:pPr>
            <w:r>
              <w:rPr>
                <w:sz w:val="20"/>
              </w:rPr>
              <w:t>The Kamaroopin earn-out conditions were not satisfied as of the verification date, as such no amount has been due or payable since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both"/>
              <w:rPr>
                <w:sz w:val="20"/>
              </w:rPr>
            </w:pPr>
            <w:r>
              <w:rPr>
                <w:sz w:val="20"/>
              </w:rPr>
              <w:t>The WP earn-out payable is based on performance related measures. The earn-out fair valued amount of US$11.7 million is payable on March 31, 2029.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sz w:val="20"/>
              </w:rPr>
            </w:pPr>
            <w:r>
              <w:rPr>
                <w:sz w:val="20"/>
              </w:rPr>
              <w:t xml:space="preserve">Deferred consideration payable is comprised of retention bonuses payable to management and employees of certain acquired businesses. The retention bonuses outstanding on June 30, 2026, are as follows: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sz w:val="20"/>
              </w:rPr>
            </w:pPr>
            <w:r>
              <w:rPr>
                <w:sz w:val="20"/>
              </w:rPr>
              <w:t>A retention bonus of US$2.4 million (December 31, 2025: US$2.1 million) is payable to management and employees of CSHG and will be settled over a period of two to four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sz w:val="20"/>
              </w:rPr>
            </w:pPr>
            <w:r>
              <w:rPr>
                <w:sz w:val="20"/>
              </w:rPr>
              <w:t>A commission bonus of US$8.4 million is payable to management of WP Global Partners and will be settled during the period from October 1, 2026 to February 28, 2029.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796"/>
        <w:gridCol w:w="9300"/>
      </w:tblGrid>
      <w:tr>
        <w:trPr/>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pPr>
            <w:r>
              <w:rPr/>
              <w:t>(c)</w:t>
            </w:r>
          </w:p>
        </w:tc>
        <w:tc>
          <w:tcPr>
            <w:tcW w:w="9300" w:type="dxa"/>
            <w:tcBorders/>
            <w:vAlign w:val="center"/>
          </w:tcPr>
          <w:p>
            <w:pPr>
              <w:pStyle w:val="TableContents"/>
              <w:bidi w:val="0"/>
              <w:spacing w:before="0" w:after="283"/>
              <w:jc w:val="both"/>
              <w:rPr>
                <w:caps w:val="false"/>
                <w:smallCaps w:val="false"/>
              </w:rPr>
            </w:pPr>
            <w:r>
              <w:rPr>
                <w:caps w:val="false"/>
                <w:smallCaps w:val="false"/>
              </w:rPr>
              <w:t>Gross obligation under put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468"/>
        <w:gridCol w:w="9610"/>
      </w:tblGrid>
      <w:tr>
        <w:trPr/>
        <w:tc>
          <w:tcPr>
            <w:tcW w:w="12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i/>
              </w:rPr>
            </w:pPr>
            <w:r>
              <w:rPr>
                <w:i/>
              </w:rPr>
              <w:t>i.</w:t>
            </w:r>
          </w:p>
        </w:tc>
        <w:tc>
          <w:tcPr>
            <w:tcW w:w="9610" w:type="dxa"/>
            <w:tcBorders/>
            <w:vAlign w:val="center"/>
          </w:tcPr>
          <w:p>
            <w:pPr>
              <w:pStyle w:val="TableContents"/>
              <w:bidi w:val="0"/>
              <w:spacing w:before="0" w:after="283"/>
              <w:jc w:val="both"/>
              <w:rPr>
                <w:i/>
                <w:sz w:val="20"/>
              </w:rPr>
            </w:pPr>
            <w:r>
              <w:rPr>
                <w:i/>
                <w:sz w:val="20"/>
              </w:rPr>
              <w:t>Igah GP IV – Option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with Igah GP IV concluded on November 30, 2022, and included Igah Option arrangements to acquire the remaining interest in Igah GP IV from the selling shareholders.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increased its interest in Igah GP IV on December 23, 2024, that resulted in partial derecognition of the gross obligation. </w:t>
      </w:r>
      <w:r>
        <w:rPr>
          <w:rFonts w:ascii="Times New Roman;Times;Serif" w:hAnsi="Times New Roman;Times;Serif"/>
          <w:b w:val="false"/>
          <w:i w:val="false"/>
          <w:caps w:val="false"/>
          <w:smallCaps w:val="false"/>
          <w:sz w:val="20"/>
          <w:shd w:fill="FFFFFF" w:val="clear"/>
        </w:rPr>
        <w:t>The option to exercise the remaining portion of the call and put option was extended to take place between November 2025 and November 2027.</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800"/>
        <w:gridCol w:w="9254"/>
      </w:tblGrid>
      <w:tr>
        <w:trPr/>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i/>
              </w:rPr>
            </w:pPr>
            <w:r>
              <w:rPr>
                <w:i/>
              </w:rPr>
              <w:t>ii.</w:t>
            </w:r>
          </w:p>
        </w:tc>
        <w:tc>
          <w:tcPr>
            <w:tcW w:w="9254" w:type="dxa"/>
            <w:tcBorders/>
            <w:vAlign w:val="center"/>
          </w:tcPr>
          <w:p>
            <w:pPr>
              <w:pStyle w:val="TableContents"/>
              <w:bidi w:val="0"/>
              <w:spacing w:before="0" w:after="283"/>
              <w:jc w:val="both"/>
              <w:rPr>
                <w:i/>
                <w:sz w:val="20"/>
              </w:rPr>
            </w:pPr>
            <w:r>
              <w:rPr>
                <w:i/>
                <w:sz w:val="20"/>
              </w:rPr>
              <w:t>Tria – Option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with Tria, concluded on April 2, 2024, includes option arrangements with the non-controlling shareholders of Tria. The Tria put options can be individually exercised by each non-controlling shareholder, being December 31, (i) 2029; (ii) 2030; or (iii) 2031, the “Base Date” and each month of April for the years between 2029, 2030 or 2031 the “Option Window”. If the Tria put options are not exercised during the option window, the Company may exercise the Tria call options in the month of May immediately after the end of each Tria put option window.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fair value of the Tria put option was determined using a Monte Carlo simulation. The assumptions for the simulation are the volatility of the variable in question, the risk-free discount rate and the time remaining until maturity.</w:t>
      </w:r>
      <w:r>
        <w:rPr>
          <w:rFonts w:ascii="Times New Roman;Times;Serif" w:hAnsi="Times New Roman;Times;Serif"/>
          <w:b w:val="false"/>
          <w:i w:val="false"/>
          <w:caps w:val="false"/>
          <w:smallCaps w:val="false"/>
          <w:sz w:val="20"/>
        </w:rPr>
        <w:t xml:space="preserve"> The corresponding entry related to the option was classified within other equity reserves as of June 30, 2026.</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789"/>
        <w:gridCol w:w="9301"/>
      </w:tblGrid>
      <w:tr>
        <w:trPr/>
        <w:tc>
          <w:tcPr>
            <w:tcW w:w="11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i/>
              </w:rPr>
            </w:pPr>
            <w:r>
              <w:rPr>
                <w:i/>
              </w:rPr>
              <w:t>iii.</w:t>
            </w:r>
          </w:p>
        </w:tc>
        <w:tc>
          <w:tcPr>
            <w:tcW w:w="9301" w:type="dxa"/>
            <w:tcBorders/>
            <w:vAlign w:val="center"/>
          </w:tcPr>
          <w:p>
            <w:pPr>
              <w:pStyle w:val="TableContents"/>
              <w:bidi w:val="0"/>
              <w:spacing w:before="0" w:after="283"/>
              <w:jc w:val="both"/>
              <w:rPr>
                <w:i/>
                <w:sz w:val="20"/>
              </w:rPr>
            </w:pPr>
            <w:r>
              <w:rPr>
                <w:i/>
                <w:sz w:val="20"/>
              </w:rPr>
              <w:t>Solis and Iter – Option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with Solis and Iter concluded on January 2, 2026, and includes option arrangements with the non-controlling shareholders of Solis and Iter. Both put and call options may be exercised during a 120-day window starting in January 2029. The corresponding entry related to the option was classified within other equity reserves as of June 30, 2026.</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gross obligations under put option for the periods ended on June 30, 2026 and 2025, were as follows:</w:t>
      </w:r>
    </w:p>
    <w:p>
      <w:pPr>
        <w:pStyle w:val="TextBody"/>
        <w:bidi w:val="0"/>
        <w:spacing w:before="0" w:after="0"/>
        <w:ind w:left="0" w:right="0" w:hanging="0"/>
        <w:jc w:val="both"/>
        <w:rPr>
          <w:caps w:val="false"/>
          <w:smallCaps w:val="false"/>
        </w:rPr>
      </w:pPr>
      <w:r>
        <w:rPr>
          <w:caps w:val="false"/>
          <w:smallCaps w:val="false"/>
        </w:rPr>
        <w:t> </w:t>
      </w:r>
    </w:p>
    <w:tbl>
      <w:tblPr>
        <w:tblW w:w="7210" w:type="dxa"/>
        <w:jc w:val="center"/>
        <w:tblInd w:w="0" w:type="dxa"/>
        <w:tblLayout w:type="fixed"/>
        <w:tblCellMar>
          <w:top w:w="0" w:type="dxa"/>
          <w:left w:w="0" w:type="dxa"/>
          <w:bottom w:w="0" w:type="dxa"/>
          <w:right w:w="0" w:type="dxa"/>
        </w:tblCellMar>
      </w:tblPr>
      <w:tblGrid>
        <w:gridCol w:w="3650"/>
        <w:gridCol w:w="485"/>
        <w:gridCol w:w="665"/>
        <w:gridCol w:w="455"/>
        <w:gridCol w:w="590"/>
        <w:gridCol w:w="425"/>
        <w:gridCol w:w="335"/>
        <w:gridCol w:w="605"/>
      </w:tblGrid>
      <w:tr>
        <w:trPr/>
        <w:tc>
          <w:tcPr>
            <w:tcW w:w="365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Notes</w:t>
            </w:r>
          </w:p>
        </w:tc>
        <w:tc>
          <w:tcPr>
            <w:tcW w:w="66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Igah IV</w:t>
            </w:r>
          </w:p>
        </w:tc>
        <w:tc>
          <w:tcPr>
            <w:tcW w:w="45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VBI</w:t>
            </w:r>
          </w:p>
        </w:tc>
        <w:tc>
          <w:tcPr>
            <w:tcW w:w="5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Tria</w:t>
            </w:r>
          </w:p>
        </w:tc>
        <w:tc>
          <w:tcPr>
            <w:tcW w:w="4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Solis</w:t>
            </w:r>
          </w:p>
        </w:tc>
        <w:tc>
          <w:tcPr>
            <w:tcW w:w="33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Iter</w:t>
            </w:r>
          </w:p>
        </w:tc>
        <w:tc>
          <w:tcPr>
            <w:tcW w:w="60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Total</w:t>
            </w:r>
          </w:p>
        </w:tc>
      </w:tr>
      <w:tr>
        <w:trPr/>
        <w:tc>
          <w:tcPr>
            <w:tcW w:w="3650" w:type="dxa"/>
            <w:tcBorders/>
            <w:shd w:fill="D5EAEA" w:val="clear"/>
            <w:vAlign w:val="center"/>
          </w:tcPr>
          <w:p>
            <w:pPr>
              <w:pStyle w:val="TableContents"/>
              <w:bidi w:val="0"/>
              <w:spacing w:before="0" w:after="283"/>
              <w:jc w:val="left"/>
              <w:rPr>
                <w:b/>
                <w:sz w:val="20"/>
              </w:rPr>
            </w:pPr>
            <w:r>
              <w:rPr>
                <w:b/>
                <w:sz w:val="20"/>
              </w:rPr>
              <w:t>Balance on December 31, 2024</w:t>
            </w:r>
          </w:p>
        </w:tc>
        <w:tc>
          <w:tcPr>
            <w:tcW w:w="485" w:type="dxa"/>
            <w:tcBorders/>
            <w:shd w:fill="D5EAEA" w:val="clear"/>
            <w:vAlign w:val="center"/>
          </w:tcPr>
          <w:p>
            <w:pPr>
              <w:pStyle w:val="TableContents"/>
              <w:bidi w:val="0"/>
              <w:spacing w:before="0" w:after="283"/>
              <w:jc w:val="center"/>
              <w:rPr/>
            </w:pPr>
            <w:r>
              <w:rPr/>
              <w:t> </w:t>
            </w:r>
          </w:p>
        </w:tc>
        <w:tc>
          <w:tcPr>
            <w:tcW w:w="66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2,503</w:t>
            </w:r>
          </w:p>
        </w:tc>
        <w:tc>
          <w:tcPr>
            <w:tcW w:w="45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c>
          <w:tcPr>
            <w:tcW w:w="590"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15,755</w:t>
            </w:r>
          </w:p>
        </w:tc>
        <w:tc>
          <w:tcPr>
            <w:tcW w:w="42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c>
          <w:tcPr>
            <w:tcW w:w="33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c>
          <w:tcPr>
            <w:tcW w:w="60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18,258</w:t>
            </w:r>
          </w:p>
        </w:tc>
      </w:tr>
      <w:tr>
        <w:trPr/>
        <w:tc>
          <w:tcPr>
            <w:tcW w:w="3650" w:type="dxa"/>
            <w:tcBorders/>
            <w:shd w:fill="FFFFFF" w:val="clear"/>
            <w:vAlign w:val="center"/>
          </w:tcPr>
          <w:p>
            <w:pPr>
              <w:pStyle w:val="TableContents"/>
              <w:bidi w:val="0"/>
              <w:spacing w:before="0" w:after="283"/>
              <w:jc w:val="left"/>
              <w:rPr>
                <w:sz w:val="20"/>
              </w:rPr>
            </w:pPr>
            <w:r>
              <w:rPr>
                <w:sz w:val="20"/>
              </w:rPr>
              <w:t>Cumulative translation adjustment</w:t>
            </w:r>
          </w:p>
        </w:tc>
        <w:tc>
          <w:tcPr>
            <w:tcW w:w="485"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right"/>
              <w:rPr>
                <w:sz w:val="20"/>
              </w:rPr>
            </w:pPr>
            <w:r>
              <w:rPr>
                <w:sz w:val="20"/>
              </w:rPr>
              <w:t>(897)</w:t>
            </w:r>
          </w:p>
        </w:tc>
        <w:tc>
          <w:tcPr>
            <w:tcW w:w="455" w:type="dxa"/>
            <w:tcBorders/>
            <w:shd w:fill="FFFFFF" w:val="clear"/>
            <w:vAlign w:val="center"/>
          </w:tcPr>
          <w:p>
            <w:pPr>
              <w:pStyle w:val="TableContents"/>
              <w:bidi w:val="0"/>
              <w:spacing w:before="0" w:after="283"/>
              <w:jc w:val="right"/>
              <w:rPr>
                <w:b/>
                <w:sz w:val="20"/>
              </w:rPr>
            </w:pPr>
            <w:r>
              <w:rPr>
                <w:b/>
                <w:sz w:val="20"/>
              </w:rPr>
              <w:t>-</w:t>
            </w:r>
          </w:p>
        </w:tc>
        <w:tc>
          <w:tcPr>
            <w:tcW w:w="590" w:type="dxa"/>
            <w:tcBorders/>
            <w:shd w:fill="FFFFFF" w:val="clear"/>
            <w:vAlign w:val="center"/>
          </w:tcPr>
          <w:p>
            <w:pPr>
              <w:pStyle w:val="TableContents"/>
              <w:bidi w:val="0"/>
              <w:spacing w:before="0" w:after="283"/>
              <w:jc w:val="right"/>
              <w:rPr>
                <w:sz w:val="20"/>
              </w:rPr>
            </w:pPr>
            <w:r>
              <w:rPr>
                <w:sz w:val="20"/>
              </w:rPr>
              <w:t>2,324</w:t>
            </w:r>
          </w:p>
        </w:tc>
        <w:tc>
          <w:tcPr>
            <w:tcW w:w="425" w:type="dxa"/>
            <w:tcBorders/>
            <w:shd w:fill="FFFFFF" w:val="clear"/>
            <w:vAlign w:val="center"/>
          </w:tcPr>
          <w:p>
            <w:pPr>
              <w:pStyle w:val="TableContents"/>
              <w:bidi w:val="0"/>
              <w:spacing w:before="0" w:after="283"/>
              <w:jc w:val="right"/>
              <w:rPr>
                <w:sz w:val="20"/>
              </w:rPr>
            </w:pPr>
            <w:r>
              <w:rPr>
                <w:sz w:val="20"/>
              </w:rPr>
              <w:t>-</w:t>
            </w:r>
          </w:p>
        </w:tc>
        <w:tc>
          <w:tcPr>
            <w:tcW w:w="335" w:type="dxa"/>
            <w:tcBorders/>
            <w:shd w:fill="FFFFFF" w:val="clear"/>
            <w:vAlign w:val="center"/>
          </w:tcPr>
          <w:p>
            <w:pPr>
              <w:pStyle w:val="TableContents"/>
              <w:bidi w:val="0"/>
              <w:spacing w:before="0" w:after="283"/>
              <w:jc w:val="right"/>
              <w:rPr>
                <w:sz w:val="20"/>
              </w:rPr>
            </w:pPr>
            <w:r>
              <w:rPr>
                <w:sz w:val="20"/>
              </w:rPr>
              <w:t>-</w:t>
            </w:r>
          </w:p>
        </w:tc>
        <w:tc>
          <w:tcPr>
            <w:tcW w:w="605" w:type="dxa"/>
            <w:tcBorders/>
            <w:shd w:fill="FFFFFF" w:val="clear"/>
            <w:vAlign w:val="center"/>
          </w:tcPr>
          <w:p>
            <w:pPr>
              <w:pStyle w:val="TableContents"/>
              <w:bidi w:val="0"/>
              <w:spacing w:before="0" w:after="283"/>
              <w:jc w:val="right"/>
              <w:rPr>
                <w:sz w:val="20"/>
              </w:rPr>
            </w:pPr>
            <w:r>
              <w:rPr>
                <w:sz w:val="20"/>
              </w:rPr>
              <w:t>1,427</w:t>
            </w:r>
          </w:p>
        </w:tc>
      </w:tr>
      <w:tr>
        <w:trPr/>
        <w:tc>
          <w:tcPr>
            <w:tcW w:w="3650" w:type="dxa"/>
            <w:tcBorders/>
            <w:shd w:fill="D5EAEA" w:val="clear"/>
            <w:vAlign w:val="center"/>
          </w:tcPr>
          <w:p>
            <w:pPr>
              <w:pStyle w:val="TableContents"/>
              <w:bidi w:val="0"/>
              <w:spacing w:before="0" w:after="283"/>
              <w:jc w:val="left"/>
              <w:rPr>
                <w:sz w:val="20"/>
              </w:rPr>
            </w:pPr>
            <w:r>
              <w:rPr>
                <w:sz w:val="20"/>
              </w:rPr>
              <w:t>Gross obligation recognized/ (derecognized)</w:t>
            </w:r>
          </w:p>
        </w:tc>
        <w:tc>
          <w:tcPr>
            <w:tcW w:w="485" w:type="dxa"/>
            <w:tcBorders/>
            <w:shd w:fill="D5EAEA" w:val="clear"/>
            <w:vAlign w:val="center"/>
          </w:tcPr>
          <w:p>
            <w:pPr>
              <w:pStyle w:val="TableContents"/>
              <w:bidi w:val="0"/>
              <w:spacing w:before="0" w:after="283"/>
              <w:jc w:val="center"/>
              <w:rPr/>
            </w:pPr>
            <w:r>
              <w:rPr/>
              <w:t> </w:t>
            </w:r>
          </w:p>
        </w:tc>
        <w:tc>
          <w:tcPr>
            <w:tcW w:w="665" w:type="dxa"/>
            <w:tcBorders/>
            <w:shd w:fill="D5EAEA" w:val="clear"/>
            <w:vAlign w:val="center"/>
          </w:tcPr>
          <w:p>
            <w:pPr>
              <w:pStyle w:val="TableContents"/>
              <w:bidi w:val="0"/>
              <w:spacing w:before="0" w:after="283"/>
              <w:jc w:val="right"/>
              <w:rPr>
                <w:sz w:val="20"/>
              </w:rPr>
            </w:pPr>
            <w:r>
              <w:rPr>
                <w:sz w:val="20"/>
              </w:rPr>
              <w:t>(637)</w:t>
            </w:r>
          </w:p>
        </w:tc>
        <w:tc>
          <w:tcPr>
            <w:tcW w:w="455" w:type="dxa"/>
            <w:tcBorders/>
            <w:shd w:fill="D5EAEA" w:val="clear"/>
            <w:vAlign w:val="center"/>
          </w:tcPr>
          <w:p>
            <w:pPr>
              <w:pStyle w:val="TableContents"/>
              <w:bidi w:val="0"/>
              <w:spacing w:before="0" w:after="283"/>
              <w:jc w:val="right"/>
              <w:rPr>
                <w:sz w:val="20"/>
              </w:rPr>
            </w:pPr>
            <w:r>
              <w:rPr>
                <w:sz w:val="20"/>
              </w:rPr>
              <w:t>257</w:t>
            </w:r>
          </w:p>
        </w:tc>
        <w:tc>
          <w:tcPr>
            <w:tcW w:w="590" w:type="dxa"/>
            <w:tcBorders/>
            <w:shd w:fill="D5EAEA" w:val="clear"/>
            <w:vAlign w:val="center"/>
          </w:tcPr>
          <w:p>
            <w:pPr>
              <w:pStyle w:val="TableContents"/>
              <w:bidi w:val="0"/>
              <w:spacing w:before="0" w:after="283"/>
              <w:jc w:val="right"/>
              <w:rPr>
                <w:sz w:val="20"/>
              </w:rPr>
            </w:pPr>
            <w:r>
              <w:rPr>
                <w:sz w:val="20"/>
              </w:rPr>
              <w:t>2,159</w:t>
            </w:r>
          </w:p>
        </w:tc>
        <w:tc>
          <w:tcPr>
            <w:tcW w:w="425" w:type="dxa"/>
            <w:tcBorders/>
            <w:shd w:fill="D5EAEA" w:val="clear"/>
            <w:vAlign w:val="center"/>
          </w:tcPr>
          <w:p>
            <w:pPr>
              <w:pStyle w:val="TableContents"/>
              <w:bidi w:val="0"/>
              <w:spacing w:before="0" w:after="283"/>
              <w:jc w:val="right"/>
              <w:rPr>
                <w:sz w:val="20"/>
              </w:rPr>
            </w:pPr>
            <w:r>
              <w:rPr>
                <w:sz w:val="20"/>
              </w:rPr>
              <w:t>-</w:t>
            </w:r>
          </w:p>
        </w:tc>
        <w:tc>
          <w:tcPr>
            <w:tcW w:w="335" w:type="dxa"/>
            <w:tcBorders/>
            <w:shd w:fill="D5EAEA" w:val="clear"/>
            <w:vAlign w:val="center"/>
          </w:tcPr>
          <w:p>
            <w:pPr>
              <w:pStyle w:val="TableContents"/>
              <w:bidi w:val="0"/>
              <w:spacing w:before="0" w:after="283"/>
              <w:jc w:val="right"/>
              <w:rPr>
                <w:sz w:val="20"/>
              </w:rPr>
            </w:pPr>
            <w:r>
              <w:rPr>
                <w:sz w:val="20"/>
              </w:rPr>
              <w:t>-</w:t>
            </w:r>
          </w:p>
        </w:tc>
        <w:tc>
          <w:tcPr>
            <w:tcW w:w="605" w:type="dxa"/>
            <w:tcBorders/>
            <w:shd w:fill="D5EAEA" w:val="clear"/>
            <w:vAlign w:val="center"/>
          </w:tcPr>
          <w:p>
            <w:pPr>
              <w:pStyle w:val="TableContents"/>
              <w:bidi w:val="0"/>
              <w:spacing w:before="0" w:after="283"/>
              <w:jc w:val="right"/>
              <w:rPr>
                <w:sz w:val="20"/>
              </w:rPr>
            </w:pPr>
            <w:r>
              <w:rPr>
                <w:sz w:val="20"/>
              </w:rPr>
              <w:t>1,779</w:t>
            </w:r>
          </w:p>
        </w:tc>
      </w:tr>
      <w:tr>
        <w:trPr/>
        <w:tc>
          <w:tcPr>
            <w:tcW w:w="3650" w:type="dxa"/>
            <w:tcBorders/>
            <w:shd w:fill="FFFFFF" w:val="clear"/>
            <w:vAlign w:val="center"/>
          </w:tcPr>
          <w:p>
            <w:pPr>
              <w:pStyle w:val="TableContents"/>
              <w:bidi w:val="0"/>
              <w:spacing w:before="0" w:after="283"/>
              <w:jc w:val="left"/>
              <w:rPr>
                <w:sz w:val="20"/>
              </w:rPr>
            </w:pPr>
            <w:r>
              <w:rPr>
                <w:sz w:val="20"/>
              </w:rPr>
              <w:t>Gross obligation fair value changes</w:t>
            </w:r>
          </w:p>
        </w:tc>
        <w:tc>
          <w:tcPr>
            <w:tcW w:w="485" w:type="dxa"/>
            <w:tcBorders/>
            <w:shd w:fill="FFFFFF" w:val="clear"/>
            <w:vAlign w:val="center"/>
          </w:tcPr>
          <w:p>
            <w:pPr>
              <w:pStyle w:val="TableContents"/>
              <w:bidi w:val="0"/>
              <w:spacing w:before="0" w:after="283"/>
              <w:jc w:val="center"/>
              <w:rPr>
                <w:sz w:val="20"/>
              </w:rPr>
            </w:pPr>
            <w:r>
              <w:rPr>
                <w:sz w:val="20"/>
              </w:rPr>
              <w:t>26</w:t>
            </w:r>
          </w:p>
        </w:tc>
        <w:tc>
          <w:tcPr>
            <w:tcW w:w="665" w:type="dxa"/>
            <w:tcBorders/>
            <w:shd w:fill="FFFFFF" w:val="clear"/>
            <w:vAlign w:val="center"/>
          </w:tcPr>
          <w:p>
            <w:pPr>
              <w:pStyle w:val="TableContents"/>
              <w:bidi w:val="0"/>
              <w:spacing w:before="0" w:after="283"/>
              <w:jc w:val="right"/>
              <w:rPr>
                <w:sz w:val="20"/>
              </w:rPr>
            </w:pPr>
            <w:r>
              <w:rPr>
                <w:sz w:val="20"/>
              </w:rPr>
              <w:t>(969)</w:t>
            </w:r>
          </w:p>
        </w:tc>
        <w:tc>
          <w:tcPr>
            <w:tcW w:w="455" w:type="dxa"/>
            <w:tcBorders/>
            <w:shd w:fill="FFFFFF" w:val="clear"/>
            <w:vAlign w:val="center"/>
          </w:tcPr>
          <w:p>
            <w:pPr>
              <w:pStyle w:val="TableContents"/>
              <w:bidi w:val="0"/>
              <w:spacing w:before="0" w:after="283"/>
              <w:jc w:val="right"/>
              <w:rPr>
                <w:sz w:val="20"/>
              </w:rPr>
            </w:pPr>
            <w:r>
              <w:rPr>
                <w:sz w:val="20"/>
              </w:rPr>
              <w:t>(257)</w:t>
            </w:r>
          </w:p>
        </w:tc>
        <w:tc>
          <w:tcPr>
            <w:tcW w:w="590" w:type="dxa"/>
            <w:tcBorders/>
            <w:shd w:fill="FFFFFF" w:val="clear"/>
            <w:vAlign w:val="center"/>
          </w:tcPr>
          <w:p>
            <w:pPr>
              <w:pStyle w:val="TableContents"/>
              <w:bidi w:val="0"/>
              <w:spacing w:before="0" w:after="283"/>
              <w:jc w:val="right"/>
              <w:rPr>
                <w:sz w:val="20"/>
              </w:rPr>
            </w:pPr>
            <w:r>
              <w:rPr>
                <w:sz w:val="20"/>
              </w:rPr>
              <w:t>4,339</w:t>
            </w:r>
          </w:p>
        </w:tc>
        <w:tc>
          <w:tcPr>
            <w:tcW w:w="425" w:type="dxa"/>
            <w:tcBorders/>
            <w:shd w:fill="FFFFFF" w:val="clear"/>
            <w:vAlign w:val="center"/>
          </w:tcPr>
          <w:p>
            <w:pPr>
              <w:pStyle w:val="TableContents"/>
              <w:bidi w:val="0"/>
              <w:spacing w:before="0" w:after="283"/>
              <w:jc w:val="right"/>
              <w:rPr>
                <w:sz w:val="20"/>
              </w:rPr>
            </w:pPr>
            <w:r>
              <w:rPr>
                <w:sz w:val="20"/>
              </w:rPr>
              <w:t>-</w:t>
            </w:r>
          </w:p>
        </w:tc>
        <w:tc>
          <w:tcPr>
            <w:tcW w:w="335" w:type="dxa"/>
            <w:tcBorders/>
            <w:shd w:fill="FFFFFF" w:val="clear"/>
            <w:vAlign w:val="center"/>
          </w:tcPr>
          <w:p>
            <w:pPr>
              <w:pStyle w:val="TableContents"/>
              <w:bidi w:val="0"/>
              <w:spacing w:before="0" w:after="283"/>
              <w:jc w:val="right"/>
              <w:rPr>
                <w:sz w:val="20"/>
              </w:rPr>
            </w:pPr>
            <w:r>
              <w:rPr>
                <w:sz w:val="20"/>
              </w:rPr>
              <w:t>-</w:t>
            </w:r>
          </w:p>
        </w:tc>
        <w:tc>
          <w:tcPr>
            <w:tcW w:w="605" w:type="dxa"/>
            <w:tcBorders/>
            <w:shd w:fill="FFFFFF" w:val="clear"/>
            <w:vAlign w:val="center"/>
          </w:tcPr>
          <w:p>
            <w:pPr>
              <w:pStyle w:val="TableContents"/>
              <w:bidi w:val="0"/>
              <w:spacing w:before="0" w:after="283"/>
              <w:jc w:val="right"/>
              <w:rPr>
                <w:sz w:val="20"/>
              </w:rPr>
            </w:pPr>
            <w:r>
              <w:rPr>
                <w:sz w:val="20"/>
              </w:rPr>
              <w:t>3,113</w:t>
            </w:r>
          </w:p>
        </w:tc>
      </w:tr>
      <w:tr>
        <w:trPr/>
        <w:tc>
          <w:tcPr>
            <w:tcW w:w="3650" w:type="dxa"/>
            <w:tcBorders/>
            <w:shd w:fill="D5EAEA" w:val="clear"/>
            <w:vAlign w:val="center"/>
          </w:tcPr>
          <w:p>
            <w:pPr>
              <w:pStyle w:val="TableContents"/>
              <w:bidi w:val="0"/>
              <w:spacing w:before="0" w:after="283"/>
              <w:jc w:val="left"/>
              <w:rPr>
                <w:b/>
                <w:sz w:val="20"/>
              </w:rPr>
            </w:pPr>
            <w:r>
              <w:rPr>
                <w:b/>
                <w:sz w:val="20"/>
              </w:rPr>
              <w:t>Balance on December 31, 2025</w:t>
            </w:r>
          </w:p>
        </w:tc>
        <w:tc>
          <w:tcPr>
            <w:tcW w:w="485" w:type="dxa"/>
            <w:tcBorders/>
            <w:shd w:fill="D5EAEA" w:val="clear"/>
            <w:vAlign w:val="center"/>
          </w:tcPr>
          <w:p>
            <w:pPr>
              <w:pStyle w:val="TableContents"/>
              <w:bidi w:val="0"/>
              <w:spacing w:before="0" w:after="283"/>
              <w:jc w:val="center"/>
              <w:rPr/>
            </w:pPr>
            <w:r>
              <w:rPr/>
              <w:t> </w:t>
            </w:r>
          </w:p>
        </w:tc>
        <w:tc>
          <w:tcPr>
            <w:tcW w:w="66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w:t>
            </w:r>
          </w:p>
        </w:tc>
        <w:tc>
          <w:tcPr>
            <w:tcW w:w="45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w:t>
            </w:r>
          </w:p>
        </w:tc>
        <w:tc>
          <w:tcPr>
            <w:tcW w:w="59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24,577</w:t>
            </w:r>
          </w:p>
        </w:tc>
        <w:tc>
          <w:tcPr>
            <w:tcW w:w="42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w:t>
            </w:r>
          </w:p>
        </w:tc>
        <w:tc>
          <w:tcPr>
            <w:tcW w:w="33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w:t>
            </w:r>
          </w:p>
        </w:tc>
        <w:tc>
          <w:tcPr>
            <w:tcW w:w="60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24,577</w:t>
            </w:r>
          </w:p>
        </w:tc>
      </w:tr>
    </w:tbl>
    <w:tbl>
      <w:tblPr>
        <w:tblW w:w="5375" w:type="dxa"/>
        <w:jc w:val="center"/>
        <w:tblInd w:w="0" w:type="dxa"/>
        <w:tblLayout w:type="fixed"/>
        <w:tblCellMar>
          <w:top w:w="0" w:type="dxa"/>
          <w:left w:w="0" w:type="dxa"/>
          <w:bottom w:w="0" w:type="dxa"/>
          <w:right w:w="0" w:type="dxa"/>
        </w:tblCellMar>
      </w:tblPr>
      <w:tblGrid>
        <w:gridCol w:w="2855"/>
        <w:gridCol w:w="60"/>
        <w:gridCol w:w="80"/>
        <w:gridCol w:w="80"/>
        <w:gridCol w:w="605"/>
        <w:gridCol w:w="590"/>
        <w:gridCol w:w="485"/>
        <w:gridCol w:w="620"/>
      </w:tblGrid>
      <w:tr>
        <w:trPr/>
        <w:tc>
          <w:tcPr>
            <w:tcW w:w="2855" w:type="dxa"/>
            <w:tcBorders/>
            <w:vAlign w:val="center"/>
          </w:tcPr>
          <w:p>
            <w:pPr>
              <w:pStyle w:val="TableContents"/>
              <w:bidi w:val="0"/>
              <w:spacing w:before="0" w:after="283"/>
              <w:jc w:val="left"/>
              <w:rPr>
                <w:b/>
                <w:sz w:val="20"/>
              </w:rPr>
            </w:pPr>
            <w:r>
              <w:rPr>
                <w:b/>
                <w:sz w:val="20"/>
              </w:rPr>
              <w:t>Balance on December 31, 2025</w:t>
            </w:r>
          </w:p>
        </w:tc>
        <w:tc>
          <w:tcPr>
            <w:tcW w:w="60" w:type="dxa"/>
            <w:tcBorders/>
            <w:vAlign w:val="center"/>
          </w:tcPr>
          <w:p>
            <w:pPr>
              <w:pStyle w:val="TableContents"/>
              <w:bidi w:val="0"/>
              <w:spacing w:before="0" w:after="283"/>
              <w:jc w:val="right"/>
              <w:rPr/>
            </w:pPr>
            <w:r>
              <w:rPr/>
              <w:t> </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w:t>
            </w:r>
          </w:p>
        </w:tc>
        <w:tc>
          <w:tcPr>
            <w:tcW w:w="60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24,577</w:t>
            </w:r>
          </w:p>
        </w:tc>
        <w:tc>
          <w:tcPr>
            <w:tcW w:w="5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w:t>
            </w:r>
          </w:p>
        </w:tc>
        <w:tc>
          <w:tcPr>
            <w:tcW w:w="62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24,577</w:t>
            </w:r>
          </w:p>
        </w:tc>
      </w:tr>
      <w:tr>
        <w:trPr/>
        <w:tc>
          <w:tcPr>
            <w:tcW w:w="2855" w:type="dxa"/>
            <w:tcBorders/>
            <w:shd w:fill="D5EAEA" w:val="clear"/>
            <w:vAlign w:val="center"/>
          </w:tcPr>
          <w:p>
            <w:pPr>
              <w:pStyle w:val="TableContents"/>
              <w:bidi w:val="0"/>
              <w:spacing w:before="0" w:after="283"/>
              <w:jc w:val="left"/>
              <w:rPr>
                <w:sz w:val="20"/>
              </w:rPr>
            </w:pPr>
            <w:r>
              <w:rPr>
                <w:sz w:val="20"/>
              </w:rPr>
              <w:t>Cumulative translation adjustment</w:t>
            </w:r>
          </w:p>
        </w:tc>
        <w:tc>
          <w:tcPr>
            <w:tcW w:w="60" w:type="dxa"/>
            <w:tcBorders/>
            <w:shd w:fill="D5EAEA" w:val="clear"/>
            <w:vAlign w:val="center"/>
          </w:tcPr>
          <w:p>
            <w:pPr>
              <w:pStyle w:val="TableContents"/>
              <w:bidi w:val="0"/>
              <w:spacing w:before="0" w:after="283"/>
              <w:jc w:val="right"/>
              <w:rPr/>
            </w:pPr>
            <w:r>
              <w:rPr/>
              <w:t> </w:t>
            </w:r>
          </w:p>
        </w:tc>
        <w:tc>
          <w:tcPr>
            <w:tcW w:w="80" w:type="dxa"/>
            <w:tcBorders/>
            <w:shd w:fill="D5EAEA" w:val="clear"/>
            <w:vAlign w:val="center"/>
          </w:tcPr>
          <w:p>
            <w:pPr>
              <w:pStyle w:val="TableContents"/>
              <w:bidi w:val="0"/>
              <w:spacing w:before="0" w:after="283"/>
              <w:jc w:val="right"/>
              <w:rPr>
                <w:sz w:val="20"/>
              </w:rPr>
            </w:pPr>
            <w:r>
              <w:rPr>
                <w:sz w:val="20"/>
              </w:rPr>
              <w:t>-</w:t>
            </w:r>
          </w:p>
        </w:tc>
        <w:tc>
          <w:tcPr>
            <w:tcW w:w="80" w:type="dxa"/>
            <w:tcBorders/>
            <w:shd w:fill="D5EAEA" w:val="clear"/>
            <w:vAlign w:val="center"/>
          </w:tcPr>
          <w:p>
            <w:pPr>
              <w:pStyle w:val="TableContents"/>
              <w:bidi w:val="0"/>
              <w:spacing w:before="0" w:after="283"/>
              <w:jc w:val="right"/>
              <w:rPr>
                <w:b/>
                <w:sz w:val="20"/>
              </w:rPr>
            </w:pPr>
            <w:r>
              <w:rPr>
                <w:b/>
                <w:sz w:val="20"/>
              </w:rPr>
              <w:t>-</w:t>
            </w:r>
          </w:p>
        </w:tc>
        <w:tc>
          <w:tcPr>
            <w:tcW w:w="605"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(1,729)</w:t>
            </w:r>
          </w:p>
        </w:tc>
        <w:tc>
          <w:tcPr>
            <w:tcW w:w="59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1,271</w:t>
            </w:r>
          </w:p>
        </w:tc>
        <w:tc>
          <w:tcPr>
            <w:tcW w:w="485"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w:t>
            </w:r>
          </w:p>
        </w:tc>
        <w:tc>
          <w:tcPr>
            <w:tcW w:w="62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2855" w:type="dxa"/>
            <w:tcBorders/>
            <w:shd w:fill="FFFFFF" w:val="clear"/>
            <w:vAlign w:val="center"/>
          </w:tcPr>
          <w:p>
            <w:pPr>
              <w:pStyle w:val="TableContents"/>
              <w:bidi w:val="0"/>
              <w:spacing w:before="0" w:after="283"/>
              <w:jc w:val="left"/>
              <w:rPr>
                <w:sz w:val="20"/>
              </w:rPr>
            </w:pPr>
            <w:r>
              <w:rPr>
                <w:sz w:val="20"/>
              </w:rPr>
              <w:t xml:space="preserve">Gross obligation recognized </w:t>
            </w:r>
          </w:p>
        </w:tc>
        <w:tc>
          <w:tcPr>
            <w:tcW w:w="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right"/>
              <w:rPr>
                <w:b/>
                <w:sz w:val="20"/>
              </w:rPr>
            </w:pPr>
            <w:r>
              <w:rPr>
                <w:b/>
                <w:sz w:val="20"/>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25,257</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7,146</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32,403</w:t>
            </w:r>
          </w:p>
        </w:tc>
      </w:tr>
      <w:tr>
        <w:trPr/>
        <w:tc>
          <w:tcPr>
            <w:tcW w:w="2855" w:type="dxa"/>
            <w:tcBorders/>
            <w:shd w:fill="D5EAEA" w:val="clear"/>
            <w:vAlign w:val="center"/>
          </w:tcPr>
          <w:p>
            <w:pPr>
              <w:pStyle w:val="TableContents"/>
              <w:bidi w:val="0"/>
              <w:spacing w:before="0" w:after="283"/>
              <w:jc w:val="left"/>
              <w:rPr>
                <w:sz w:val="20"/>
              </w:rPr>
            </w:pPr>
            <w:r>
              <w:rPr>
                <w:sz w:val="20"/>
              </w:rPr>
              <w:t>Gross obligation adjustments</w:t>
            </w:r>
          </w:p>
        </w:tc>
        <w:tc>
          <w:tcPr>
            <w:tcW w:w="60" w:type="dxa"/>
            <w:tcBorders/>
            <w:shd w:fill="D5EAEA" w:val="clear"/>
            <w:vAlign w:val="center"/>
          </w:tcPr>
          <w:p>
            <w:pPr>
              <w:pStyle w:val="TableContents"/>
              <w:bidi w:val="0"/>
              <w:spacing w:before="0" w:after="283"/>
              <w:jc w:val="center"/>
              <w:rPr/>
            </w:pPr>
            <w:r>
              <w:rPr/>
              <w:t> </w:t>
            </w:r>
          </w:p>
        </w:tc>
        <w:tc>
          <w:tcPr>
            <w:tcW w:w="80" w:type="dxa"/>
            <w:tcBorders/>
            <w:shd w:fill="D5EAEA" w:val="clear"/>
            <w:vAlign w:val="center"/>
          </w:tcPr>
          <w:p>
            <w:pPr>
              <w:pStyle w:val="TableContents"/>
              <w:bidi w:val="0"/>
              <w:spacing w:before="0" w:after="283"/>
              <w:jc w:val="right"/>
              <w:rPr>
                <w:sz w:val="20"/>
              </w:rPr>
            </w:pPr>
            <w:r>
              <w:rPr>
                <w:sz w:val="20"/>
              </w:rPr>
              <w:t>-</w:t>
            </w:r>
          </w:p>
        </w:tc>
        <w:tc>
          <w:tcPr>
            <w:tcW w:w="80" w:type="dxa"/>
            <w:tcBorders/>
            <w:shd w:fill="D5EAEA" w:val="clear"/>
            <w:vAlign w:val="center"/>
          </w:tcPr>
          <w:p>
            <w:pPr>
              <w:pStyle w:val="TableContents"/>
              <w:bidi w:val="0"/>
              <w:spacing w:before="0" w:after="283"/>
              <w:jc w:val="right"/>
              <w:rPr>
                <w:b/>
                <w:sz w:val="20"/>
              </w:rPr>
            </w:pPr>
            <w:r>
              <w:rPr>
                <w:b/>
                <w:sz w:val="20"/>
              </w:rPr>
              <w:t>-</w:t>
            </w:r>
          </w:p>
        </w:tc>
        <w:tc>
          <w:tcPr>
            <w:tcW w:w="605"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(1,548)</w:t>
            </w:r>
          </w:p>
        </w:tc>
        <w:tc>
          <w:tcPr>
            <w:tcW w:w="59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85"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2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(1,548)</w:t>
            </w:r>
          </w:p>
        </w:tc>
      </w:tr>
      <w:tr>
        <w:trPr/>
        <w:tc>
          <w:tcPr>
            <w:tcW w:w="2855" w:type="dxa"/>
            <w:tcBorders/>
            <w:shd w:fill="FFFFFF" w:val="clear"/>
            <w:vAlign w:val="center"/>
          </w:tcPr>
          <w:p>
            <w:pPr>
              <w:pStyle w:val="TableContents"/>
              <w:bidi w:val="0"/>
              <w:spacing w:before="0" w:after="283"/>
              <w:jc w:val="left"/>
              <w:rPr>
                <w:b/>
                <w:sz w:val="20"/>
              </w:rPr>
            </w:pPr>
            <w:r>
              <w:rPr>
                <w:b/>
                <w:sz w:val="20"/>
              </w:rPr>
              <w:t>Balance on June 30, 2026</w:t>
            </w:r>
          </w:p>
        </w:tc>
        <w:tc>
          <w:tcPr>
            <w:tcW w:w="60" w:type="dxa"/>
            <w:tcBorders/>
            <w:shd w:fill="FFFFFF" w:val="clear"/>
            <w:vAlign w:val="center"/>
          </w:tcPr>
          <w:p>
            <w:pPr>
              <w:pStyle w:val="TableContents"/>
              <w:bidi w:val="0"/>
              <w:spacing w:before="0" w:after="283"/>
              <w:jc w:val="right"/>
              <w:rPr/>
            </w:pPr>
            <w:r>
              <w:rPr/>
              <w:t> </w:t>
            </w:r>
          </w:p>
        </w:tc>
        <w:tc>
          <w:tcPr>
            <w:tcW w:w="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w:t>
            </w:r>
          </w:p>
        </w:tc>
        <w:tc>
          <w:tcPr>
            <w:tcW w:w="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w:t>
            </w:r>
          </w:p>
        </w:tc>
        <w:tc>
          <w:tcPr>
            <w:tcW w:w="60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21,300</w:t>
            </w:r>
          </w:p>
        </w:tc>
        <w:tc>
          <w:tcPr>
            <w:tcW w:w="59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26,528</w:t>
            </w:r>
          </w:p>
        </w:tc>
        <w:tc>
          <w:tcPr>
            <w:tcW w:w="4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7,506</w:t>
            </w:r>
          </w:p>
        </w:tc>
        <w:tc>
          <w:tcPr>
            <w:tcW w:w="6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55,334</w:t>
            </w:r>
          </w:p>
        </w:tc>
      </w:tr>
    </w:tbl>
    <w:p>
      <w:pPr>
        <w:pStyle w:val="TextBody"/>
        <w:bidi w:val="0"/>
        <w:spacing w:before="0" w:after="283"/>
        <w:jc w:val="left"/>
        <w:rPr/>
      </w:pPr>
      <w:r>
        <w:rPr/>
        <w:t> </w:t>
      </w:r>
    </w:p>
    <w:tbl>
      <w:tblPr>
        <w:tblW w:w="2845" w:type="dxa"/>
        <w:jc w:val="left"/>
        <w:tblInd w:w="0" w:type="dxa"/>
        <w:tblLayout w:type="fixed"/>
        <w:tblCellMar>
          <w:top w:w="0" w:type="dxa"/>
          <w:left w:w="0" w:type="dxa"/>
          <w:bottom w:w="0" w:type="dxa"/>
          <w:right w:w="0" w:type="dxa"/>
        </w:tblCellMar>
      </w:tblPr>
      <w:tblGrid>
        <w:gridCol w:w="335"/>
        <w:gridCol w:w="2510"/>
      </w:tblGrid>
      <w:tr>
        <w:trPr/>
        <w:tc>
          <w:tcPr>
            <w:tcW w:w="335" w:type="dxa"/>
            <w:tcBorders/>
            <w:vAlign w:val="center"/>
          </w:tcPr>
          <w:p>
            <w:pPr>
              <w:pStyle w:val="TableContents"/>
              <w:bidi w:val="0"/>
              <w:spacing w:before="0" w:after="283"/>
              <w:jc w:val="left"/>
              <w:rPr/>
            </w:pPr>
            <w:r>
              <w:rPr/>
              <w:t>22.</w:t>
            </w:r>
          </w:p>
        </w:tc>
        <w:tc>
          <w:tcPr>
            <w:tcW w:w="2510" w:type="dxa"/>
            <w:tcBorders/>
            <w:vAlign w:val="center"/>
          </w:tcPr>
          <w:p>
            <w:pPr>
              <w:pStyle w:val="TableContents"/>
              <w:bidi w:val="0"/>
              <w:spacing w:before="0" w:after="283"/>
              <w:jc w:val="left"/>
              <w:rPr/>
            </w:pPr>
            <w:r>
              <w:rPr/>
              <w:t>Net revenue from services</w:t>
            </w:r>
          </w:p>
        </w:tc>
      </w:tr>
    </w:tbl>
    <w:p>
      <w:pPr>
        <w:pStyle w:val="TextBody"/>
        <w:bidi w:val="0"/>
        <w:spacing w:before="0" w:after="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4535"/>
        <w:gridCol w:w="1568"/>
        <w:gridCol w:w="1331"/>
        <w:gridCol w:w="1369"/>
        <w:gridCol w:w="1402"/>
      </w:tblGrid>
      <w:tr>
        <w:trPr/>
        <w:tc>
          <w:tcPr>
            <w:tcW w:w="4535" w:type="dxa"/>
            <w:tcBorders/>
            <w:vAlign w:val="center"/>
          </w:tcPr>
          <w:p>
            <w:pPr>
              <w:pStyle w:val="TableContents"/>
              <w:bidi w:val="0"/>
              <w:spacing w:before="0" w:after="283"/>
              <w:jc w:val="left"/>
              <w:rPr/>
            </w:pPr>
            <w:r>
              <w:rPr/>
              <w:t> </w:t>
            </w:r>
          </w:p>
        </w:tc>
        <w:tc>
          <w:tcPr>
            <w:tcW w:w="289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June 30,</w:t>
            </w:r>
          </w:p>
        </w:tc>
        <w:tc>
          <w:tcPr>
            <w:tcW w:w="277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periods ended June 30,</w:t>
            </w:r>
          </w:p>
        </w:tc>
      </w:tr>
      <w:tr>
        <w:trPr/>
        <w:tc>
          <w:tcPr>
            <w:tcW w:w="4535" w:type="dxa"/>
            <w:tcBorders/>
            <w:vAlign w:val="center"/>
          </w:tcPr>
          <w:p>
            <w:pPr>
              <w:pStyle w:val="TableContents"/>
              <w:bidi w:val="0"/>
              <w:spacing w:before="0" w:after="283"/>
              <w:jc w:val="left"/>
              <w:rPr/>
            </w:pPr>
            <w:r>
              <w:rPr/>
              <w:t> </w:t>
            </w:r>
          </w:p>
        </w:tc>
        <w:tc>
          <w:tcPr>
            <w:tcW w:w="156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33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369"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4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4535" w:type="dxa"/>
            <w:tcBorders/>
            <w:shd w:fill="D5EAEA" w:val="clear"/>
            <w:vAlign w:val="center"/>
          </w:tcPr>
          <w:p>
            <w:pPr>
              <w:pStyle w:val="TableContents"/>
              <w:bidi w:val="0"/>
              <w:spacing w:before="0" w:after="283"/>
              <w:jc w:val="left"/>
              <w:rPr>
                <w:sz w:val="20"/>
              </w:rPr>
            </w:pPr>
            <w:r>
              <w:rPr>
                <w:sz w:val="20"/>
              </w:rPr>
              <w:t xml:space="preserve">Revenue from management fees </w:t>
            </w:r>
          </w:p>
        </w:tc>
        <w:tc>
          <w:tcPr>
            <w:tcW w:w="1568" w:type="dxa"/>
            <w:tcBorders/>
            <w:shd w:fill="D5EAEA" w:val="clear"/>
            <w:vAlign w:val="center"/>
          </w:tcPr>
          <w:p>
            <w:pPr>
              <w:pStyle w:val="TableContents"/>
              <w:bidi w:val="0"/>
              <w:spacing w:before="0" w:after="283"/>
              <w:jc w:val="right"/>
              <w:rPr>
                <w:sz w:val="20"/>
              </w:rPr>
            </w:pPr>
            <w:r>
              <w:rPr>
                <w:sz w:val="20"/>
              </w:rPr>
              <w:t>108,615</w:t>
            </w:r>
          </w:p>
        </w:tc>
        <w:tc>
          <w:tcPr>
            <w:tcW w:w="1331" w:type="dxa"/>
            <w:tcBorders/>
            <w:shd w:fill="D5EAEA" w:val="clear"/>
            <w:vAlign w:val="center"/>
          </w:tcPr>
          <w:p>
            <w:pPr>
              <w:pStyle w:val="TableContents"/>
              <w:bidi w:val="0"/>
              <w:spacing w:before="0" w:after="283"/>
              <w:jc w:val="right"/>
              <w:rPr>
                <w:sz w:val="20"/>
              </w:rPr>
            </w:pPr>
            <w:r>
              <w:rPr>
                <w:sz w:val="20"/>
              </w:rPr>
              <w:t>77,922</w:t>
            </w:r>
          </w:p>
        </w:tc>
        <w:tc>
          <w:tcPr>
            <w:tcW w:w="1369" w:type="dxa"/>
            <w:tcBorders/>
            <w:shd w:fill="D5EAEA" w:val="clear"/>
            <w:vAlign w:val="center"/>
          </w:tcPr>
          <w:p>
            <w:pPr>
              <w:pStyle w:val="TableContents"/>
              <w:bidi w:val="0"/>
              <w:spacing w:before="0" w:after="283"/>
              <w:jc w:val="right"/>
              <w:rPr>
                <w:sz w:val="20"/>
              </w:rPr>
            </w:pPr>
            <w:r>
              <w:rPr>
                <w:sz w:val="20"/>
              </w:rPr>
              <w:t>208,357</w:t>
            </w:r>
          </w:p>
        </w:tc>
        <w:tc>
          <w:tcPr>
            <w:tcW w:w="1402" w:type="dxa"/>
            <w:tcBorders/>
            <w:shd w:fill="D5EAEA" w:val="clear"/>
            <w:vAlign w:val="center"/>
          </w:tcPr>
          <w:p>
            <w:pPr>
              <w:pStyle w:val="TableContents"/>
              <w:bidi w:val="0"/>
              <w:spacing w:before="0" w:after="283"/>
              <w:jc w:val="right"/>
              <w:rPr>
                <w:sz w:val="20"/>
              </w:rPr>
            </w:pPr>
            <w:r>
              <w:rPr>
                <w:sz w:val="20"/>
              </w:rPr>
              <w:t>154,497</w:t>
            </w:r>
          </w:p>
        </w:tc>
      </w:tr>
      <w:tr>
        <w:trPr/>
        <w:tc>
          <w:tcPr>
            <w:tcW w:w="4535" w:type="dxa"/>
            <w:tcBorders/>
            <w:shd w:fill="FFFFFF" w:val="clear"/>
            <w:vAlign w:val="center"/>
          </w:tcPr>
          <w:p>
            <w:pPr>
              <w:pStyle w:val="TableContents"/>
              <w:bidi w:val="0"/>
              <w:spacing w:before="0" w:after="283"/>
              <w:jc w:val="left"/>
              <w:rPr>
                <w:sz w:val="20"/>
              </w:rPr>
            </w:pPr>
            <w:r>
              <w:rPr>
                <w:sz w:val="20"/>
              </w:rPr>
              <w:t xml:space="preserve">Revenue from incentive fees </w:t>
            </w:r>
          </w:p>
        </w:tc>
        <w:tc>
          <w:tcPr>
            <w:tcW w:w="1568" w:type="dxa"/>
            <w:tcBorders/>
            <w:shd w:fill="FFFFFF" w:val="clear"/>
            <w:vAlign w:val="center"/>
          </w:tcPr>
          <w:p>
            <w:pPr>
              <w:pStyle w:val="TableContents"/>
              <w:bidi w:val="0"/>
              <w:spacing w:before="0" w:after="283"/>
              <w:jc w:val="right"/>
              <w:rPr>
                <w:sz w:val="20"/>
              </w:rPr>
            </w:pPr>
            <w:r>
              <w:rPr>
                <w:sz w:val="20"/>
              </w:rPr>
              <w:t>3,121</w:t>
            </w:r>
          </w:p>
        </w:tc>
        <w:tc>
          <w:tcPr>
            <w:tcW w:w="1331" w:type="dxa"/>
            <w:tcBorders/>
            <w:shd w:fill="FFFFFF" w:val="clear"/>
            <w:vAlign w:val="center"/>
          </w:tcPr>
          <w:p>
            <w:pPr>
              <w:pStyle w:val="TableContents"/>
              <w:bidi w:val="0"/>
              <w:spacing w:before="0" w:after="283"/>
              <w:jc w:val="right"/>
              <w:rPr>
                <w:sz w:val="20"/>
              </w:rPr>
            </w:pPr>
            <w:r>
              <w:rPr>
                <w:sz w:val="20"/>
              </w:rPr>
              <w:t>2,291</w:t>
            </w:r>
          </w:p>
        </w:tc>
        <w:tc>
          <w:tcPr>
            <w:tcW w:w="1369" w:type="dxa"/>
            <w:tcBorders/>
            <w:shd w:fill="FFFFFF" w:val="clear"/>
            <w:vAlign w:val="center"/>
          </w:tcPr>
          <w:p>
            <w:pPr>
              <w:pStyle w:val="TableContents"/>
              <w:bidi w:val="0"/>
              <w:spacing w:before="0" w:after="283"/>
              <w:jc w:val="right"/>
              <w:rPr>
                <w:sz w:val="20"/>
              </w:rPr>
            </w:pPr>
            <w:r>
              <w:rPr>
                <w:sz w:val="20"/>
              </w:rPr>
              <w:t>3,147</w:t>
            </w:r>
          </w:p>
        </w:tc>
        <w:tc>
          <w:tcPr>
            <w:tcW w:w="1402" w:type="dxa"/>
            <w:tcBorders/>
            <w:shd w:fill="FFFFFF" w:val="clear"/>
            <w:vAlign w:val="center"/>
          </w:tcPr>
          <w:p>
            <w:pPr>
              <w:pStyle w:val="TableContents"/>
              <w:bidi w:val="0"/>
              <w:spacing w:before="0" w:after="283"/>
              <w:jc w:val="right"/>
              <w:rPr>
                <w:sz w:val="20"/>
              </w:rPr>
            </w:pPr>
            <w:r>
              <w:rPr>
                <w:sz w:val="20"/>
              </w:rPr>
              <w:t>2,555</w:t>
            </w:r>
          </w:p>
        </w:tc>
      </w:tr>
      <w:tr>
        <w:trPr/>
        <w:tc>
          <w:tcPr>
            <w:tcW w:w="4535" w:type="dxa"/>
            <w:tcBorders/>
            <w:shd w:fill="D5EAEA" w:val="clear"/>
            <w:vAlign w:val="center"/>
          </w:tcPr>
          <w:p>
            <w:pPr>
              <w:pStyle w:val="TableContents"/>
              <w:bidi w:val="0"/>
              <w:spacing w:before="0" w:after="283"/>
              <w:jc w:val="left"/>
              <w:rPr>
                <w:sz w:val="20"/>
              </w:rPr>
            </w:pPr>
            <w:r>
              <w:rPr>
                <w:sz w:val="20"/>
              </w:rPr>
              <w:t xml:space="preserve">Revenue from performance fees </w:t>
            </w:r>
          </w:p>
        </w:tc>
        <w:tc>
          <w:tcPr>
            <w:tcW w:w="1568"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133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1369"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140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767</w:t>
            </w:r>
          </w:p>
        </w:tc>
      </w:tr>
      <w:tr>
        <w:trPr/>
        <w:tc>
          <w:tcPr>
            <w:tcW w:w="4535" w:type="dxa"/>
            <w:tcBorders/>
            <w:shd w:fill="FFFFFF" w:val="clear"/>
            <w:vAlign w:val="center"/>
          </w:tcPr>
          <w:p>
            <w:pPr>
              <w:pStyle w:val="TableContents"/>
              <w:bidi w:val="0"/>
              <w:spacing w:before="0" w:after="283"/>
              <w:jc w:val="left"/>
              <w:rPr>
                <w:b/>
                <w:sz w:val="20"/>
              </w:rPr>
            </w:pPr>
            <w:r>
              <w:rPr>
                <w:b/>
                <w:sz w:val="20"/>
              </w:rPr>
              <w:t>Fund fees</w:t>
            </w:r>
          </w:p>
        </w:tc>
        <w:tc>
          <w:tcPr>
            <w:tcW w:w="1568" w:type="dxa"/>
            <w:tcBorders/>
            <w:shd w:fill="FFFFFF" w:val="clear"/>
            <w:vAlign w:val="center"/>
          </w:tcPr>
          <w:p>
            <w:pPr>
              <w:pStyle w:val="TableContents"/>
              <w:bidi w:val="0"/>
              <w:spacing w:before="0" w:after="283"/>
              <w:jc w:val="right"/>
              <w:rPr>
                <w:b/>
                <w:sz w:val="20"/>
              </w:rPr>
            </w:pPr>
            <w:r>
              <w:rPr>
                <w:b/>
                <w:sz w:val="20"/>
              </w:rPr>
              <w:t>111,736</w:t>
            </w:r>
          </w:p>
        </w:tc>
        <w:tc>
          <w:tcPr>
            <w:tcW w:w="1331" w:type="dxa"/>
            <w:tcBorders/>
            <w:shd w:fill="FFFFFF" w:val="clear"/>
            <w:vAlign w:val="center"/>
          </w:tcPr>
          <w:p>
            <w:pPr>
              <w:pStyle w:val="TableContents"/>
              <w:bidi w:val="0"/>
              <w:spacing w:before="0" w:after="283"/>
              <w:jc w:val="right"/>
              <w:rPr>
                <w:b/>
                <w:sz w:val="20"/>
              </w:rPr>
            </w:pPr>
            <w:r>
              <w:rPr>
                <w:b/>
                <w:sz w:val="20"/>
              </w:rPr>
              <w:t>80,213</w:t>
            </w:r>
          </w:p>
        </w:tc>
        <w:tc>
          <w:tcPr>
            <w:tcW w:w="1369" w:type="dxa"/>
            <w:tcBorders/>
            <w:shd w:fill="FFFFFF" w:val="clear"/>
            <w:vAlign w:val="center"/>
          </w:tcPr>
          <w:p>
            <w:pPr>
              <w:pStyle w:val="TableContents"/>
              <w:bidi w:val="0"/>
              <w:spacing w:before="0" w:after="283"/>
              <w:jc w:val="right"/>
              <w:rPr>
                <w:b/>
                <w:sz w:val="20"/>
              </w:rPr>
            </w:pPr>
            <w:r>
              <w:rPr>
                <w:b/>
                <w:sz w:val="20"/>
              </w:rPr>
              <w:t>211,504</w:t>
            </w:r>
          </w:p>
        </w:tc>
        <w:tc>
          <w:tcPr>
            <w:tcW w:w="1402" w:type="dxa"/>
            <w:tcBorders/>
            <w:shd w:fill="FFFFFF" w:val="clear"/>
            <w:vAlign w:val="center"/>
          </w:tcPr>
          <w:p>
            <w:pPr>
              <w:pStyle w:val="TableContents"/>
              <w:bidi w:val="0"/>
              <w:spacing w:before="0" w:after="283"/>
              <w:jc w:val="right"/>
              <w:rPr>
                <w:b/>
                <w:sz w:val="20"/>
              </w:rPr>
            </w:pPr>
            <w:r>
              <w:rPr>
                <w:b/>
                <w:sz w:val="20"/>
              </w:rPr>
              <w:t>157,819</w:t>
            </w:r>
          </w:p>
        </w:tc>
      </w:tr>
      <w:tr>
        <w:trPr/>
        <w:tc>
          <w:tcPr>
            <w:tcW w:w="4535" w:type="dxa"/>
            <w:tcBorders/>
            <w:shd w:fill="D5EAEA" w:val="clear"/>
            <w:vAlign w:val="center"/>
          </w:tcPr>
          <w:p>
            <w:pPr>
              <w:pStyle w:val="TableContents"/>
              <w:bidi w:val="0"/>
              <w:spacing w:before="0" w:after="283"/>
              <w:jc w:val="left"/>
              <w:rPr/>
            </w:pPr>
            <w:r>
              <w:rPr/>
              <w:t> </w:t>
            </w:r>
          </w:p>
        </w:tc>
        <w:tc>
          <w:tcPr>
            <w:tcW w:w="1568" w:type="dxa"/>
            <w:tcBorders/>
            <w:shd w:fill="D5EAEA" w:val="clear"/>
            <w:vAlign w:val="center"/>
          </w:tcPr>
          <w:p>
            <w:pPr>
              <w:pStyle w:val="TableContents"/>
              <w:bidi w:val="0"/>
              <w:spacing w:before="0" w:after="283"/>
              <w:jc w:val="right"/>
              <w:rPr/>
            </w:pPr>
            <w:r>
              <w:rPr/>
              <w:t> </w:t>
            </w:r>
          </w:p>
        </w:tc>
        <w:tc>
          <w:tcPr>
            <w:tcW w:w="1331" w:type="dxa"/>
            <w:tcBorders/>
            <w:shd w:fill="D5EAEA" w:val="clear"/>
            <w:vAlign w:val="center"/>
          </w:tcPr>
          <w:p>
            <w:pPr>
              <w:pStyle w:val="TableContents"/>
              <w:bidi w:val="0"/>
              <w:spacing w:before="0" w:after="283"/>
              <w:jc w:val="right"/>
              <w:rPr/>
            </w:pPr>
            <w:r>
              <w:rPr/>
              <w:t> </w:t>
            </w:r>
          </w:p>
        </w:tc>
        <w:tc>
          <w:tcPr>
            <w:tcW w:w="1369" w:type="dxa"/>
            <w:tcBorders/>
            <w:shd w:fill="D5EAEA" w:val="clear"/>
            <w:vAlign w:val="center"/>
          </w:tcPr>
          <w:p>
            <w:pPr>
              <w:pStyle w:val="TableContents"/>
              <w:bidi w:val="0"/>
              <w:spacing w:before="0" w:after="283"/>
              <w:jc w:val="right"/>
              <w:rPr/>
            </w:pPr>
            <w:r>
              <w:rPr/>
              <w:t> </w:t>
            </w:r>
          </w:p>
        </w:tc>
        <w:tc>
          <w:tcPr>
            <w:tcW w:w="1402" w:type="dxa"/>
            <w:tcBorders/>
            <w:shd w:fill="D5EAEA" w:val="clear"/>
            <w:vAlign w:val="center"/>
          </w:tcPr>
          <w:p>
            <w:pPr>
              <w:pStyle w:val="TableContents"/>
              <w:bidi w:val="0"/>
              <w:spacing w:before="0" w:after="283"/>
              <w:jc w:val="right"/>
              <w:rPr/>
            </w:pPr>
            <w:r>
              <w:rPr/>
              <w:t> </w:t>
            </w:r>
          </w:p>
        </w:tc>
      </w:tr>
      <w:tr>
        <w:trPr/>
        <w:tc>
          <w:tcPr>
            <w:tcW w:w="4535" w:type="dxa"/>
            <w:tcBorders/>
            <w:shd w:fill="FFFFFF" w:val="clear"/>
            <w:vAlign w:val="center"/>
          </w:tcPr>
          <w:p>
            <w:pPr>
              <w:pStyle w:val="TableContents"/>
              <w:bidi w:val="0"/>
              <w:spacing w:before="0" w:after="283"/>
              <w:jc w:val="left"/>
              <w:rPr>
                <w:sz w:val="20"/>
              </w:rPr>
            </w:pPr>
            <w:r>
              <w:rPr>
                <w:sz w:val="20"/>
              </w:rPr>
              <w:t>Revenue from advisory and other ancillary fees</w:t>
            </w:r>
          </w:p>
        </w:tc>
        <w:tc>
          <w:tcPr>
            <w:tcW w:w="1568" w:type="dxa"/>
            <w:tcBorders/>
            <w:shd w:fill="FFFFFF" w:val="clear"/>
            <w:vAlign w:val="center"/>
          </w:tcPr>
          <w:p>
            <w:pPr>
              <w:pStyle w:val="TableContents"/>
              <w:bidi w:val="0"/>
              <w:spacing w:before="0" w:after="283"/>
              <w:jc w:val="right"/>
              <w:rPr>
                <w:sz w:val="20"/>
              </w:rPr>
            </w:pPr>
            <w:r>
              <w:rPr>
                <w:sz w:val="20"/>
              </w:rPr>
              <w:t>7,360</w:t>
            </w:r>
          </w:p>
        </w:tc>
        <w:tc>
          <w:tcPr>
            <w:tcW w:w="1331" w:type="dxa"/>
            <w:tcBorders/>
            <w:shd w:fill="FFFFFF" w:val="clear"/>
            <w:vAlign w:val="center"/>
          </w:tcPr>
          <w:p>
            <w:pPr>
              <w:pStyle w:val="TableContents"/>
              <w:bidi w:val="0"/>
              <w:spacing w:before="0" w:after="283"/>
              <w:jc w:val="right"/>
              <w:rPr>
                <w:sz w:val="20"/>
              </w:rPr>
            </w:pPr>
            <w:r>
              <w:rPr>
                <w:sz w:val="20"/>
              </w:rPr>
              <w:t>2,309</w:t>
            </w:r>
          </w:p>
        </w:tc>
        <w:tc>
          <w:tcPr>
            <w:tcW w:w="1369" w:type="dxa"/>
            <w:tcBorders/>
            <w:shd w:fill="FFFFFF" w:val="clear"/>
            <w:vAlign w:val="center"/>
          </w:tcPr>
          <w:p>
            <w:pPr>
              <w:pStyle w:val="TableContents"/>
              <w:bidi w:val="0"/>
              <w:spacing w:before="0" w:after="283"/>
              <w:jc w:val="right"/>
              <w:rPr>
                <w:sz w:val="20"/>
              </w:rPr>
            </w:pPr>
            <w:r>
              <w:rPr>
                <w:sz w:val="20"/>
              </w:rPr>
              <w:t>10,901</w:t>
            </w:r>
          </w:p>
        </w:tc>
        <w:tc>
          <w:tcPr>
            <w:tcW w:w="1402" w:type="dxa"/>
            <w:tcBorders/>
            <w:shd w:fill="FFFFFF" w:val="clear"/>
            <w:vAlign w:val="center"/>
          </w:tcPr>
          <w:p>
            <w:pPr>
              <w:pStyle w:val="TableContents"/>
              <w:bidi w:val="0"/>
              <w:spacing w:before="0" w:after="283"/>
              <w:jc w:val="right"/>
              <w:rPr>
                <w:sz w:val="20"/>
              </w:rPr>
            </w:pPr>
            <w:r>
              <w:rPr>
                <w:sz w:val="20"/>
              </w:rPr>
              <w:t>4,270</w:t>
            </w:r>
          </w:p>
        </w:tc>
      </w:tr>
      <w:tr>
        <w:trPr/>
        <w:tc>
          <w:tcPr>
            <w:tcW w:w="4535" w:type="dxa"/>
            <w:tcBorders/>
            <w:shd w:fill="D5EAEA" w:val="clear"/>
            <w:vAlign w:val="center"/>
          </w:tcPr>
          <w:p>
            <w:pPr>
              <w:pStyle w:val="TableContents"/>
              <w:bidi w:val="0"/>
              <w:spacing w:before="0" w:after="283"/>
              <w:jc w:val="left"/>
              <w:rPr/>
            </w:pPr>
            <w:r>
              <w:rPr/>
              <w:t> </w:t>
            </w:r>
          </w:p>
        </w:tc>
        <w:tc>
          <w:tcPr>
            <w:tcW w:w="1568"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1331"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1369"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1402"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r>
      <w:tr>
        <w:trPr/>
        <w:tc>
          <w:tcPr>
            <w:tcW w:w="4535" w:type="dxa"/>
            <w:tcBorders/>
            <w:shd w:fill="FFFFFF" w:val="clear"/>
            <w:vAlign w:val="center"/>
          </w:tcPr>
          <w:p>
            <w:pPr>
              <w:pStyle w:val="TableContents"/>
              <w:bidi w:val="0"/>
              <w:spacing w:before="0" w:after="283"/>
              <w:jc w:val="left"/>
              <w:rPr>
                <w:b/>
                <w:sz w:val="20"/>
              </w:rPr>
            </w:pPr>
            <w:r>
              <w:rPr>
                <w:b/>
                <w:sz w:val="20"/>
              </w:rPr>
              <w:t>Total gross revenue from services (a)</w:t>
            </w:r>
          </w:p>
        </w:tc>
        <w:tc>
          <w:tcPr>
            <w:tcW w:w="1568" w:type="dxa"/>
            <w:tcBorders/>
            <w:shd w:fill="FFFFFF" w:val="clear"/>
            <w:vAlign w:val="center"/>
          </w:tcPr>
          <w:p>
            <w:pPr>
              <w:pStyle w:val="TableContents"/>
              <w:bidi w:val="0"/>
              <w:spacing w:before="0" w:after="283"/>
              <w:jc w:val="right"/>
              <w:rPr>
                <w:b/>
                <w:sz w:val="20"/>
              </w:rPr>
            </w:pPr>
            <w:r>
              <w:rPr>
                <w:b/>
                <w:sz w:val="20"/>
              </w:rPr>
              <w:t>119,096</w:t>
            </w:r>
          </w:p>
        </w:tc>
        <w:tc>
          <w:tcPr>
            <w:tcW w:w="1331" w:type="dxa"/>
            <w:tcBorders/>
            <w:shd w:fill="FFFFFF" w:val="clear"/>
            <w:vAlign w:val="center"/>
          </w:tcPr>
          <w:p>
            <w:pPr>
              <w:pStyle w:val="TableContents"/>
              <w:bidi w:val="0"/>
              <w:spacing w:before="0" w:after="283"/>
              <w:jc w:val="right"/>
              <w:rPr>
                <w:b/>
                <w:sz w:val="20"/>
              </w:rPr>
            </w:pPr>
            <w:r>
              <w:rPr>
                <w:b/>
                <w:sz w:val="20"/>
              </w:rPr>
              <w:t>82,522</w:t>
            </w:r>
          </w:p>
        </w:tc>
        <w:tc>
          <w:tcPr>
            <w:tcW w:w="1369" w:type="dxa"/>
            <w:tcBorders/>
            <w:shd w:fill="FFFFFF" w:val="clear"/>
            <w:vAlign w:val="center"/>
          </w:tcPr>
          <w:p>
            <w:pPr>
              <w:pStyle w:val="TableContents"/>
              <w:bidi w:val="0"/>
              <w:spacing w:before="0" w:after="283"/>
              <w:jc w:val="right"/>
              <w:rPr>
                <w:b/>
                <w:sz w:val="20"/>
              </w:rPr>
            </w:pPr>
            <w:r>
              <w:rPr>
                <w:b/>
                <w:sz w:val="20"/>
              </w:rPr>
              <w:t>222,405</w:t>
            </w:r>
          </w:p>
        </w:tc>
        <w:tc>
          <w:tcPr>
            <w:tcW w:w="1402" w:type="dxa"/>
            <w:tcBorders/>
            <w:shd w:fill="FFFFFF" w:val="clear"/>
            <w:vAlign w:val="center"/>
          </w:tcPr>
          <w:p>
            <w:pPr>
              <w:pStyle w:val="TableContents"/>
              <w:bidi w:val="0"/>
              <w:spacing w:before="0" w:after="283"/>
              <w:jc w:val="right"/>
              <w:rPr>
                <w:b/>
                <w:sz w:val="20"/>
              </w:rPr>
            </w:pPr>
            <w:r>
              <w:rPr>
                <w:b/>
                <w:sz w:val="20"/>
              </w:rPr>
              <w:t>162,089</w:t>
            </w:r>
          </w:p>
        </w:tc>
      </w:tr>
      <w:tr>
        <w:trPr/>
        <w:tc>
          <w:tcPr>
            <w:tcW w:w="4535" w:type="dxa"/>
            <w:tcBorders/>
            <w:shd w:fill="D5EAEA" w:val="clear"/>
            <w:vAlign w:val="center"/>
          </w:tcPr>
          <w:p>
            <w:pPr>
              <w:pStyle w:val="TableContents"/>
              <w:bidi w:val="0"/>
              <w:spacing w:before="0" w:after="283"/>
              <w:jc w:val="left"/>
              <w:rPr/>
            </w:pPr>
            <w:r>
              <w:rPr/>
              <w:t> </w:t>
            </w:r>
          </w:p>
        </w:tc>
        <w:tc>
          <w:tcPr>
            <w:tcW w:w="1568" w:type="dxa"/>
            <w:tcBorders/>
            <w:shd w:fill="D5EAEA" w:val="clear"/>
            <w:vAlign w:val="center"/>
          </w:tcPr>
          <w:p>
            <w:pPr>
              <w:pStyle w:val="TableContents"/>
              <w:bidi w:val="0"/>
              <w:spacing w:before="0" w:after="283"/>
              <w:jc w:val="right"/>
              <w:rPr/>
            </w:pPr>
            <w:r>
              <w:rPr/>
              <w:t> </w:t>
            </w:r>
          </w:p>
        </w:tc>
        <w:tc>
          <w:tcPr>
            <w:tcW w:w="1331" w:type="dxa"/>
            <w:tcBorders/>
            <w:shd w:fill="D5EAEA" w:val="clear"/>
            <w:vAlign w:val="center"/>
          </w:tcPr>
          <w:p>
            <w:pPr>
              <w:pStyle w:val="TableContents"/>
              <w:bidi w:val="0"/>
              <w:spacing w:before="0" w:after="283"/>
              <w:jc w:val="right"/>
              <w:rPr/>
            </w:pPr>
            <w:r>
              <w:rPr/>
              <w:t> </w:t>
            </w:r>
          </w:p>
        </w:tc>
        <w:tc>
          <w:tcPr>
            <w:tcW w:w="1369" w:type="dxa"/>
            <w:tcBorders/>
            <w:shd w:fill="D5EAEA" w:val="clear"/>
            <w:vAlign w:val="center"/>
          </w:tcPr>
          <w:p>
            <w:pPr>
              <w:pStyle w:val="TableContents"/>
              <w:bidi w:val="0"/>
              <w:spacing w:before="0" w:after="283"/>
              <w:jc w:val="right"/>
              <w:rPr/>
            </w:pPr>
            <w:r>
              <w:rPr/>
              <w:t> </w:t>
            </w:r>
          </w:p>
        </w:tc>
        <w:tc>
          <w:tcPr>
            <w:tcW w:w="1402" w:type="dxa"/>
            <w:tcBorders/>
            <w:shd w:fill="D5EAEA" w:val="clear"/>
            <w:vAlign w:val="center"/>
          </w:tcPr>
          <w:p>
            <w:pPr>
              <w:pStyle w:val="TableContents"/>
              <w:bidi w:val="0"/>
              <w:spacing w:before="0" w:after="283"/>
              <w:jc w:val="right"/>
              <w:rPr/>
            </w:pPr>
            <w:r>
              <w:rPr/>
              <w:t> </w:t>
            </w:r>
          </w:p>
        </w:tc>
      </w:tr>
      <w:tr>
        <w:trPr/>
        <w:tc>
          <w:tcPr>
            <w:tcW w:w="4535" w:type="dxa"/>
            <w:tcBorders/>
            <w:shd w:fill="FFFFFF" w:val="clear"/>
            <w:vAlign w:val="center"/>
          </w:tcPr>
          <w:p>
            <w:pPr>
              <w:pStyle w:val="TableContents"/>
              <w:bidi w:val="0"/>
              <w:spacing w:before="0" w:after="283"/>
              <w:jc w:val="left"/>
              <w:rPr>
                <w:b/>
                <w:sz w:val="20"/>
              </w:rPr>
            </w:pPr>
            <w:r>
              <w:rPr>
                <w:b/>
                <w:sz w:val="20"/>
              </w:rPr>
              <w:t>Rebate fees</w:t>
            </w:r>
          </w:p>
        </w:tc>
        <w:tc>
          <w:tcPr>
            <w:tcW w:w="1568" w:type="dxa"/>
            <w:tcBorders/>
            <w:shd w:fill="FFFFFF" w:val="clear"/>
            <w:vAlign w:val="center"/>
          </w:tcPr>
          <w:p>
            <w:pPr>
              <w:pStyle w:val="TableContents"/>
              <w:bidi w:val="0"/>
              <w:spacing w:before="0" w:after="283"/>
              <w:jc w:val="right"/>
              <w:rPr>
                <w:b/>
                <w:sz w:val="20"/>
              </w:rPr>
            </w:pPr>
            <w:r>
              <w:rPr>
                <w:b/>
                <w:sz w:val="20"/>
              </w:rPr>
              <w:t>(4,648)</w:t>
            </w:r>
          </w:p>
        </w:tc>
        <w:tc>
          <w:tcPr>
            <w:tcW w:w="1331" w:type="dxa"/>
            <w:tcBorders/>
            <w:shd w:fill="FFFFFF" w:val="clear"/>
            <w:vAlign w:val="center"/>
          </w:tcPr>
          <w:p>
            <w:pPr>
              <w:pStyle w:val="TableContents"/>
              <w:bidi w:val="0"/>
              <w:spacing w:before="0" w:after="283"/>
              <w:jc w:val="right"/>
              <w:rPr>
                <w:b/>
                <w:sz w:val="20"/>
              </w:rPr>
            </w:pPr>
            <w:r>
              <w:rPr>
                <w:b/>
                <w:sz w:val="20"/>
              </w:rPr>
              <w:t>-</w:t>
            </w:r>
          </w:p>
        </w:tc>
        <w:tc>
          <w:tcPr>
            <w:tcW w:w="1369" w:type="dxa"/>
            <w:tcBorders/>
            <w:shd w:fill="FFFFFF" w:val="clear"/>
            <w:vAlign w:val="center"/>
          </w:tcPr>
          <w:p>
            <w:pPr>
              <w:pStyle w:val="TableContents"/>
              <w:bidi w:val="0"/>
              <w:spacing w:before="0" w:after="283"/>
              <w:jc w:val="right"/>
              <w:rPr>
                <w:b/>
                <w:sz w:val="20"/>
              </w:rPr>
            </w:pPr>
            <w:r>
              <w:rPr>
                <w:b/>
                <w:sz w:val="20"/>
              </w:rPr>
              <w:t>(8,331)</w:t>
            </w:r>
          </w:p>
        </w:tc>
        <w:tc>
          <w:tcPr>
            <w:tcW w:w="1402" w:type="dxa"/>
            <w:tcBorders/>
            <w:shd w:fill="FFFFFF" w:val="clear"/>
            <w:vAlign w:val="center"/>
          </w:tcPr>
          <w:p>
            <w:pPr>
              <w:pStyle w:val="TableContents"/>
              <w:bidi w:val="0"/>
              <w:spacing w:before="0" w:after="283"/>
              <w:jc w:val="right"/>
              <w:rPr>
                <w:b/>
                <w:sz w:val="20"/>
              </w:rPr>
            </w:pPr>
            <w:r>
              <w:rPr>
                <w:b/>
                <w:sz w:val="20"/>
              </w:rPr>
              <w:t>-</w:t>
            </w:r>
          </w:p>
        </w:tc>
      </w:tr>
      <w:tr>
        <w:trPr/>
        <w:tc>
          <w:tcPr>
            <w:tcW w:w="4535" w:type="dxa"/>
            <w:tcBorders/>
            <w:shd w:fill="D5EAEA" w:val="clear"/>
            <w:vAlign w:val="center"/>
          </w:tcPr>
          <w:p>
            <w:pPr>
              <w:pStyle w:val="TableContents"/>
              <w:bidi w:val="0"/>
              <w:spacing w:before="0" w:after="283"/>
              <w:jc w:val="left"/>
              <w:rPr>
                <w:b/>
                <w:sz w:val="20"/>
              </w:rPr>
            </w:pPr>
            <w:r>
              <w:rPr>
                <w:b/>
                <w:sz w:val="20"/>
              </w:rPr>
              <w:t>Taxes on revenue</w:t>
            </w:r>
          </w:p>
        </w:tc>
        <w:tc>
          <w:tcPr>
            <w:tcW w:w="1568"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(3,158)</w:t>
            </w:r>
          </w:p>
        </w:tc>
        <w:tc>
          <w:tcPr>
            <w:tcW w:w="1331"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c>
          <w:tcPr>
            <w:tcW w:w="1369"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(5,715)</w:t>
            </w:r>
          </w:p>
        </w:tc>
        <w:tc>
          <w:tcPr>
            <w:tcW w:w="1402"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r>
      <w:tr>
        <w:trPr/>
        <w:tc>
          <w:tcPr>
            <w:tcW w:w="4535" w:type="dxa"/>
            <w:tcBorders/>
            <w:shd w:fill="FFFFFF" w:val="clear"/>
            <w:vAlign w:val="center"/>
          </w:tcPr>
          <w:p>
            <w:pPr>
              <w:pStyle w:val="TableContents"/>
              <w:bidi w:val="0"/>
              <w:spacing w:before="0" w:after="283"/>
              <w:jc w:val="left"/>
              <w:rPr>
                <w:b/>
                <w:sz w:val="20"/>
              </w:rPr>
            </w:pPr>
            <w:r>
              <w:rPr>
                <w:b/>
                <w:sz w:val="20"/>
              </w:rPr>
              <w:t xml:space="preserve">Net revenue from services </w:t>
            </w:r>
          </w:p>
        </w:tc>
        <w:tc>
          <w:tcPr>
            <w:tcW w:w="1568"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111,290</w:t>
            </w:r>
          </w:p>
        </w:tc>
        <w:tc>
          <w:tcPr>
            <w:tcW w:w="1331"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82,522</w:t>
            </w:r>
          </w:p>
        </w:tc>
        <w:tc>
          <w:tcPr>
            <w:tcW w:w="1369"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208,359</w:t>
            </w:r>
          </w:p>
        </w:tc>
        <w:tc>
          <w:tcPr>
            <w:tcW w:w="1402"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162,089</w:t>
            </w:r>
          </w:p>
        </w:tc>
      </w:tr>
      <w:tr>
        <w:trPr/>
        <w:tc>
          <w:tcPr>
            <w:tcW w:w="4535" w:type="dxa"/>
            <w:tcBorders/>
            <w:shd w:fill="D5EAEA" w:val="clear"/>
            <w:vAlign w:val="center"/>
          </w:tcPr>
          <w:p>
            <w:pPr>
              <w:pStyle w:val="TableContents"/>
              <w:bidi w:val="0"/>
              <w:spacing w:before="0" w:after="283"/>
              <w:jc w:val="left"/>
              <w:rPr/>
            </w:pPr>
            <w:r>
              <w:rPr/>
              <w:t> </w:t>
            </w:r>
          </w:p>
        </w:tc>
        <w:tc>
          <w:tcPr>
            <w:tcW w:w="1568" w:type="dxa"/>
            <w:tcBorders/>
            <w:shd w:fill="D5EAEA" w:val="clear"/>
            <w:vAlign w:val="center"/>
          </w:tcPr>
          <w:p>
            <w:pPr>
              <w:pStyle w:val="TableContents"/>
              <w:bidi w:val="0"/>
              <w:spacing w:before="0" w:after="283"/>
              <w:jc w:val="right"/>
              <w:rPr/>
            </w:pPr>
            <w:r>
              <w:rPr/>
              <w:t> </w:t>
            </w:r>
          </w:p>
        </w:tc>
        <w:tc>
          <w:tcPr>
            <w:tcW w:w="1331" w:type="dxa"/>
            <w:tcBorders/>
            <w:shd w:fill="D5EAEA" w:val="clear"/>
            <w:vAlign w:val="center"/>
          </w:tcPr>
          <w:p>
            <w:pPr>
              <w:pStyle w:val="TableContents"/>
              <w:bidi w:val="0"/>
              <w:spacing w:before="0" w:after="283"/>
              <w:jc w:val="right"/>
              <w:rPr/>
            </w:pPr>
            <w:r>
              <w:rPr/>
              <w:t> </w:t>
            </w:r>
          </w:p>
        </w:tc>
        <w:tc>
          <w:tcPr>
            <w:tcW w:w="1369" w:type="dxa"/>
            <w:tcBorders/>
            <w:shd w:fill="D5EAEA" w:val="clear"/>
            <w:vAlign w:val="center"/>
          </w:tcPr>
          <w:p>
            <w:pPr>
              <w:pStyle w:val="TableContents"/>
              <w:bidi w:val="0"/>
              <w:spacing w:before="0" w:after="283"/>
              <w:jc w:val="right"/>
              <w:rPr/>
            </w:pPr>
            <w:r>
              <w:rPr/>
              <w:t> </w:t>
            </w:r>
          </w:p>
        </w:tc>
        <w:tc>
          <w:tcPr>
            <w:tcW w:w="1402" w:type="dxa"/>
            <w:tcBorders/>
            <w:shd w:fill="D5EAEA" w:val="clear"/>
            <w:vAlign w:val="center"/>
          </w:tcPr>
          <w:p>
            <w:pPr>
              <w:pStyle w:val="TableContents"/>
              <w:bidi w:val="0"/>
              <w:spacing w:before="0" w:after="283"/>
              <w:jc w:val="right"/>
              <w:rPr/>
            </w:pPr>
            <w:r>
              <w:rPr/>
              <w:t> </w:t>
            </w:r>
          </w:p>
        </w:tc>
      </w:tr>
      <w:tr>
        <w:trPr/>
        <w:tc>
          <w:tcPr>
            <w:tcW w:w="4535" w:type="dxa"/>
            <w:tcBorders/>
            <w:shd w:fill="FFFFFF" w:val="clear"/>
            <w:vAlign w:val="center"/>
          </w:tcPr>
          <w:p>
            <w:pPr>
              <w:pStyle w:val="TableContents"/>
              <w:bidi w:val="0"/>
              <w:spacing w:before="0" w:after="283"/>
              <w:jc w:val="left"/>
              <w:rPr>
                <w:b/>
                <w:sz w:val="20"/>
              </w:rPr>
            </w:pPr>
            <w:r>
              <w:rPr>
                <w:b/>
                <w:sz w:val="20"/>
              </w:rPr>
              <w:t>The following is the breakdown of revenue by region (b):</w:t>
            </w:r>
          </w:p>
        </w:tc>
        <w:tc>
          <w:tcPr>
            <w:tcW w:w="1568" w:type="dxa"/>
            <w:tcBorders/>
            <w:shd w:fill="FFFFFF" w:val="clear"/>
            <w:vAlign w:val="center"/>
          </w:tcPr>
          <w:p>
            <w:pPr>
              <w:pStyle w:val="TableContents"/>
              <w:bidi w:val="0"/>
              <w:spacing w:before="0" w:after="283"/>
              <w:jc w:val="right"/>
              <w:rPr/>
            </w:pPr>
            <w:r>
              <w:rPr/>
              <w:t> </w:t>
            </w:r>
          </w:p>
        </w:tc>
        <w:tc>
          <w:tcPr>
            <w:tcW w:w="1331" w:type="dxa"/>
            <w:tcBorders/>
            <w:shd w:fill="FFFFFF" w:val="clear"/>
            <w:vAlign w:val="center"/>
          </w:tcPr>
          <w:p>
            <w:pPr>
              <w:pStyle w:val="TableContents"/>
              <w:bidi w:val="0"/>
              <w:spacing w:before="0" w:after="283"/>
              <w:jc w:val="right"/>
              <w:rPr/>
            </w:pPr>
            <w:r>
              <w:rPr/>
              <w:t> </w:t>
            </w:r>
          </w:p>
        </w:tc>
        <w:tc>
          <w:tcPr>
            <w:tcW w:w="1369" w:type="dxa"/>
            <w:tcBorders/>
            <w:shd w:fill="FFFFFF" w:val="clear"/>
            <w:vAlign w:val="center"/>
          </w:tcPr>
          <w:p>
            <w:pPr>
              <w:pStyle w:val="TableContents"/>
              <w:bidi w:val="0"/>
              <w:spacing w:before="0" w:after="283"/>
              <w:jc w:val="right"/>
              <w:rPr/>
            </w:pPr>
            <w:r>
              <w:rPr/>
              <w:t> </w:t>
            </w:r>
          </w:p>
        </w:tc>
        <w:tc>
          <w:tcPr>
            <w:tcW w:w="1402" w:type="dxa"/>
            <w:tcBorders/>
            <w:shd w:fill="FFFFFF" w:val="clear"/>
            <w:vAlign w:val="center"/>
          </w:tcPr>
          <w:p>
            <w:pPr>
              <w:pStyle w:val="TableContents"/>
              <w:bidi w:val="0"/>
              <w:spacing w:before="0" w:after="283"/>
              <w:jc w:val="right"/>
              <w:rPr/>
            </w:pPr>
            <w:r>
              <w:rPr/>
              <w:t> </w:t>
            </w:r>
          </w:p>
        </w:tc>
      </w:tr>
      <w:tr>
        <w:trPr/>
        <w:tc>
          <w:tcPr>
            <w:tcW w:w="4535" w:type="dxa"/>
            <w:tcBorders/>
            <w:shd w:fill="D5EAEA" w:val="clear"/>
            <w:vAlign w:val="center"/>
          </w:tcPr>
          <w:p>
            <w:pPr>
              <w:pStyle w:val="TableContents"/>
              <w:bidi w:val="0"/>
              <w:spacing w:before="0" w:after="283"/>
              <w:jc w:val="left"/>
              <w:rPr>
                <w:sz w:val="20"/>
              </w:rPr>
            </w:pPr>
            <w:r>
              <w:rPr>
                <w:sz w:val="20"/>
              </w:rPr>
              <w:t>Brazil</w:t>
            </w:r>
          </w:p>
        </w:tc>
        <w:tc>
          <w:tcPr>
            <w:tcW w:w="1568" w:type="dxa"/>
            <w:tcBorders/>
            <w:shd w:fill="D5EAEA" w:val="clear"/>
            <w:vAlign w:val="center"/>
          </w:tcPr>
          <w:p>
            <w:pPr>
              <w:pStyle w:val="TableContents"/>
              <w:bidi w:val="0"/>
              <w:spacing w:before="0" w:after="283"/>
              <w:jc w:val="right"/>
              <w:rPr>
                <w:sz w:val="20"/>
              </w:rPr>
            </w:pPr>
            <w:r>
              <w:rPr>
                <w:sz w:val="20"/>
              </w:rPr>
              <w:t>27,784</w:t>
            </w:r>
          </w:p>
        </w:tc>
        <w:tc>
          <w:tcPr>
            <w:tcW w:w="1331" w:type="dxa"/>
            <w:tcBorders/>
            <w:shd w:fill="D5EAEA" w:val="clear"/>
            <w:vAlign w:val="center"/>
          </w:tcPr>
          <w:p>
            <w:pPr>
              <w:pStyle w:val="TableContents"/>
              <w:bidi w:val="0"/>
              <w:spacing w:before="0" w:after="283"/>
              <w:jc w:val="right"/>
              <w:rPr>
                <w:sz w:val="20"/>
              </w:rPr>
            </w:pPr>
            <w:r>
              <w:rPr>
                <w:sz w:val="20"/>
              </w:rPr>
              <w:t>15,417</w:t>
            </w:r>
          </w:p>
        </w:tc>
        <w:tc>
          <w:tcPr>
            <w:tcW w:w="1369" w:type="dxa"/>
            <w:tcBorders/>
            <w:shd w:fill="D5EAEA" w:val="clear"/>
            <w:vAlign w:val="center"/>
          </w:tcPr>
          <w:p>
            <w:pPr>
              <w:pStyle w:val="TableContents"/>
              <w:bidi w:val="0"/>
              <w:spacing w:before="0" w:after="283"/>
              <w:jc w:val="right"/>
              <w:rPr>
                <w:sz w:val="20"/>
              </w:rPr>
            </w:pPr>
            <w:r>
              <w:rPr>
                <w:sz w:val="20"/>
              </w:rPr>
              <w:t>50,605</w:t>
            </w:r>
          </w:p>
        </w:tc>
        <w:tc>
          <w:tcPr>
            <w:tcW w:w="1402" w:type="dxa"/>
            <w:tcBorders/>
            <w:shd w:fill="D5EAEA" w:val="clear"/>
            <w:vAlign w:val="center"/>
          </w:tcPr>
          <w:p>
            <w:pPr>
              <w:pStyle w:val="TableContents"/>
              <w:bidi w:val="0"/>
              <w:spacing w:before="0" w:after="283"/>
              <w:jc w:val="right"/>
              <w:rPr>
                <w:sz w:val="20"/>
              </w:rPr>
            </w:pPr>
            <w:r>
              <w:rPr>
                <w:sz w:val="20"/>
              </w:rPr>
              <w:t>28,740</w:t>
            </w:r>
          </w:p>
        </w:tc>
      </w:tr>
      <w:tr>
        <w:trPr/>
        <w:tc>
          <w:tcPr>
            <w:tcW w:w="4535" w:type="dxa"/>
            <w:tcBorders/>
            <w:shd w:fill="FFFFFF" w:val="clear"/>
            <w:vAlign w:val="center"/>
          </w:tcPr>
          <w:p>
            <w:pPr>
              <w:pStyle w:val="TableContents"/>
              <w:bidi w:val="0"/>
              <w:spacing w:before="0" w:after="283"/>
              <w:jc w:val="left"/>
              <w:rPr>
                <w:sz w:val="20"/>
              </w:rPr>
            </w:pPr>
            <w:r>
              <w:rPr>
                <w:sz w:val="20"/>
              </w:rPr>
              <w:t>Cayman Islands</w:t>
            </w:r>
          </w:p>
        </w:tc>
        <w:tc>
          <w:tcPr>
            <w:tcW w:w="1568" w:type="dxa"/>
            <w:tcBorders/>
            <w:shd w:fill="FFFFFF" w:val="clear"/>
            <w:vAlign w:val="center"/>
          </w:tcPr>
          <w:p>
            <w:pPr>
              <w:pStyle w:val="TableContents"/>
              <w:bidi w:val="0"/>
              <w:spacing w:before="0" w:after="283"/>
              <w:jc w:val="right"/>
              <w:rPr>
                <w:sz w:val="20"/>
              </w:rPr>
            </w:pPr>
            <w:r>
              <w:rPr>
                <w:sz w:val="20"/>
              </w:rPr>
              <w:t>34,474</w:t>
            </w:r>
          </w:p>
        </w:tc>
        <w:tc>
          <w:tcPr>
            <w:tcW w:w="1331" w:type="dxa"/>
            <w:tcBorders/>
            <w:shd w:fill="FFFFFF" w:val="clear"/>
            <w:vAlign w:val="center"/>
          </w:tcPr>
          <w:p>
            <w:pPr>
              <w:pStyle w:val="TableContents"/>
              <w:bidi w:val="0"/>
              <w:spacing w:before="0" w:after="283"/>
              <w:jc w:val="right"/>
              <w:rPr>
                <w:sz w:val="20"/>
              </w:rPr>
            </w:pPr>
            <w:r>
              <w:rPr>
                <w:sz w:val="20"/>
              </w:rPr>
              <w:t>34,095</w:t>
            </w:r>
          </w:p>
        </w:tc>
        <w:tc>
          <w:tcPr>
            <w:tcW w:w="1369" w:type="dxa"/>
            <w:tcBorders/>
            <w:shd w:fill="FFFFFF" w:val="clear"/>
            <w:vAlign w:val="center"/>
          </w:tcPr>
          <w:p>
            <w:pPr>
              <w:pStyle w:val="TableContents"/>
              <w:bidi w:val="0"/>
              <w:spacing w:before="0" w:after="283"/>
              <w:jc w:val="right"/>
              <w:rPr>
                <w:sz w:val="20"/>
              </w:rPr>
            </w:pPr>
            <w:r>
              <w:rPr>
                <w:sz w:val="20"/>
              </w:rPr>
              <w:t>69,375</w:t>
            </w:r>
          </w:p>
        </w:tc>
        <w:tc>
          <w:tcPr>
            <w:tcW w:w="1402" w:type="dxa"/>
            <w:tcBorders/>
            <w:shd w:fill="FFFFFF" w:val="clear"/>
            <w:vAlign w:val="center"/>
          </w:tcPr>
          <w:p>
            <w:pPr>
              <w:pStyle w:val="TableContents"/>
              <w:bidi w:val="0"/>
              <w:spacing w:before="0" w:after="283"/>
              <w:jc w:val="right"/>
              <w:rPr>
                <w:sz w:val="20"/>
              </w:rPr>
            </w:pPr>
            <w:r>
              <w:rPr>
                <w:sz w:val="20"/>
              </w:rPr>
              <w:t>67,821</w:t>
            </w:r>
          </w:p>
        </w:tc>
      </w:tr>
      <w:tr>
        <w:trPr/>
        <w:tc>
          <w:tcPr>
            <w:tcW w:w="4535" w:type="dxa"/>
            <w:tcBorders/>
            <w:shd w:fill="D5EAEA" w:val="clear"/>
            <w:vAlign w:val="center"/>
          </w:tcPr>
          <w:p>
            <w:pPr>
              <w:pStyle w:val="TableContents"/>
              <w:bidi w:val="0"/>
              <w:spacing w:before="0" w:after="283"/>
              <w:jc w:val="left"/>
              <w:rPr>
                <w:sz w:val="20"/>
              </w:rPr>
            </w:pPr>
            <w:r>
              <w:rPr>
                <w:sz w:val="20"/>
              </w:rPr>
              <w:t>Chile</w:t>
            </w:r>
          </w:p>
        </w:tc>
        <w:tc>
          <w:tcPr>
            <w:tcW w:w="1568" w:type="dxa"/>
            <w:tcBorders/>
            <w:shd w:fill="D5EAEA" w:val="clear"/>
            <w:vAlign w:val="center"/>
          </w:tcPr>
          <w:p>
            <w:pPr>
              <w:pStyle w:val="TableContents"/>
              <w:bidi w:val="0"/>
              <w:spacing w:before="0" w:after="283"/>
              <w:jc w:val="right"/>
              <w:rPr>
                <w:sz w:val="20"/>
              </w:rPr>
            </w:pPr>
            <w:r>
              <w:rPr>
                <w:sz w:val="20"/>
              </w:rPr>
              <w:t>14,931</w:t>
            </w:r>
          </w:p>
        </w:tc>
        <w:tc>
          <w:tcPr>
            <w:tcW w:w="1331" w:type="dxa"/>
            <w:tcBorders/>
            <w:shd w:fill="D5EAEA" w:val="clear"/>
            <w:vAlign w:val="center"/>
          </w:tcPr>
          <w:p>
            <w:pPr>
              <w:pStyle w:val="TableContents"/>
              <w:bidi w:val="0"/>
              <w:spacing w:before="0" w:after="283"/>
              <w:jc w:val="right"/>
              <w:rPr>
                <w:sz w:val="20"/>
              </w:rPr>
            </w:pPr>
            <w:r>
              <w:rPr>
                <w:sz w:val="20"/>
              </w:rPr>
              <w:t>8,537</w:t>
            </w:r>
          </w:p>
        </w:tc>
        <w:tc>
          <w:tcPr>
            <w:tcW w:w="1369" w:type="dxa"/>
            <w:tcBorders/>
            <w:shd w:fill="D5EAEA" w:val="clear"/>
            <w:vAlign w:val="center"/>
          </w:tcPr>
          <w:p>
            <w:pPr>
              <w:pStyle w:val="TableContents"/>
              <w:bidi w:val="0"/>
              <w:spacing w:before="0" w:after="283"/>
              <w:jc w:val="right"/>
              <w:rPr>
                <w:sz w:val="20"/>
              </w:rPr>
            </w:pPr>
            <w:r>
              <w:rPr>
                <w:sz w:val="20"/>
              </w:rPr>
              <w:t>26,489</w:t>
            </w:r>
          </w:p>
        </w:tc>
        <w:tc>
          <w:tcPr>
            <w:tcW w:w="1402" w:type="dxa"/>
            <w:tcBorders/>
            <w:shd w:fill="D5EAEA" w:val="clear"/>
            <w:vAlign w:val="center"/>
          </w:tcPr>
          <w:p>
            <w:pPr>
              <w:pStyle w:val="TableContents"/>
              <w:bidi w:val="0"/>
              <w:spacing w:before="0" w:after="283"/>
              <w:jc w:val="right"/>
              <w:rPr>
                <w:sz w:val="20"/>
              </w:rPr>
            </w:pPr>
            <w:r>
              <w:rPr>
                <w:sz w:val="20"/>
              </w:rPr>
              <w:t>16,738</w:t>
            </w:r>
          </w:p>
        </w:tc>
      </w:tr>
      <w:tr>
        <w:trPr/>
        <w:tc>
          <w:tcPr>
            <w:tcW w:w="4535" w:type="dxa"/>
            <w:tcBorders/>
            <w:shd w:fill="FFFFFF" w:val="clear"/>
            <w:vAlign w:val="center"/>
          </w:tcPr>
          <w:p>
            <w:pPr>
              <w:pStyle w:val="TableContents"/>
              <w:bidi w:val="0"/>
              <w:spacing w:before="0" w:after="283"/>
              <w:jc w:val="left"/>
              <w:rPr>
                <w:sz w:val="20"/>
              </w:rPr>
            </w:pPr>
            <w:r>
              <w:rPr>
                <w:sz w:val="20"/>
              </w:rPr>
              <w:t>Colombia</w:t>
            </w:r>
          </w:p>
        </w:tc>
        <w:tc>
          <w:tcPr>
            <w:tcW w:w="1568" w:type="dxa"/>
            <w:tcBorders/>
            <w:shd w:fill="FFFFFF" w:val="clear"/>
            <w:vAlign w:val="center"/>
          </w:tcPr>
          <w:p>
            <w:pPr>
              <w:pStyle w:val="TableContents"/>
              <w:bidi w:val="0"/>
              <w:spacing w:before="0" w:after="283"/>
              <w:jc w:val="right"/>
              <w:rPr>
                <w:sz w:val="20"/>
              </w:rPr>
            </w:pPr>
            <w:r>
              <w:rPr>
                <w:sz w:val="20"/>
              </w:rPr>
              <w:t>5,707</w:t>
            </w:r>
          </w:p>
        </w:tc>
        <w:tc>
          <w:tcPr>
            <w:tcW w:w="1331" w:type="dxa"/>
            <w:tcBorders/>
            <w:shd w:fill="FFFFFF" w:val="clear"/>
            <w:vAlign w:val="center"/>
          </w:tcPr>
          <w:p>
            <w:pPr>
              <w:pStyle w:val="TableContents"/>
              <w:bidi w:val="0"/>
              <w:spacing w:before="0" w:after="283"/>
              <w:jc w:val="right"/>
              <w:rPr>
                <w:sz w:val="20"/>
              </w:rPr>
            </w:pPr>
            <w:r>
              <w:rPr>
                <w:sz w:val="20"/>
              </w:rPr>
              <w:t>4,237</w:t>
            </w:r>
          </w:p>
        </w:tc>
        <w:tc>
          <w:tcPr>
            <w:tcW w:w="1369" w:type="dxa"/>
            <w:tcBorders/>
            <w:shd w:fill="FFFFFF" w:val="clear"/>
            <w:vAlign w:val="center"/>
          </w:tcPr>
          <w:p>
            <w:pPr>
              <w:pStyle w:val="TableContents"/>
              <w:bidi w:val="0"/>
              <w:spacing w:before="0" w:after="283"/>
              <w:jc w:val="right"/>
              <w:rPr>
                <w:sz w:val="20"/>
              </w:rPr>
            </w:pPr>
            <w:r>
              <w:rPr>
                <w:sz w:val="20"/>
              </w:rPr>
              <w:t>11,171</w:t>
            </w:r>
          </w:p>
        </w:tc>
        <w:tc>
          <w:tcPr>
            <w:tcW w:w="1402" w:type="dxa"/>
            <w:tcBorders/>
            <w:shd w:fill="FFFFFF" w:val="clear"/>
            <w:vAlign w:val="center"/>
          </w:tcPr>
          <w:p>
            <w:pPr>
              <w:pStyle w:val="TableContents"/>
              <w:bidi w:val="0"/>
              <w:spacing w:before="0" w:after="283"/>
              <w:jc w:val="right"/>
              <w:rPr>
                <w:sz w:val="20"/>
              </w:rPr>
            </w:pPr>
            <w:r>
              <w:rPr>
                <w:sz w:val="20"/>
              </w:rPr>
              <w:t>8,331</w:t>
            </w:r>
          </w:p>
        </w:tc>
      </w:tr>
      <w:tr>
        <w:trPr/>
        <w:tc>
          <w:tcPr>
            <w:tcW w:w="4535" w:type="dxa"/>
            <w:tcBorders/>
            <w:shd w:fill="D5EAEA" w:val="clear"/>
            <w:vAlign w:val="center"/>
          </w:tcPr>
          <w:p>
            <w:pPr>
              <w:pStyle w:val="TableContents"/>
              <w:bidi w:val="0"/>
              <w:spacing w:before="0" w:after="283"/>
              <w:jc w:val="left"/>
              <w:rPr>
                <w:sz w:val="20"/>
              </w:rPr>
            </w:pPr>
            <w:r>
              <w:rPr>
                <w:sz w:val="20"/>
              </w:rPr>
              <w:t>Uruguay</w:t>
            </w:r>
          </w:p>
        </w:tc>
        <w:tc>
          <w:tcPr>
            <w:tcW w:w="1568" w:type="dxa"/>
            <w:tcBorders/>
            <w:shd w:fill="D5EAEA" w:val="clear"/>
            <w:vAlign w:val="center"/>
          </w:tcPr>
          <w:p>
            <w:pPr>
              <w:pStyle w:val="TableContents"/>
              <w:bidi w:val="0"/>
              <w:spacing w:before="0" w:after="283"/>
              <w:jc w:val="right"/>
              <w:rPr>
                <w:sz w:val="20"/>
              </w:rPr>
            </w:pPr>
            <w:r>
              <w:rPr>
                <w:sz w:val="20"/>
              </w:rPr>
              <w:t>663</w:t>
            </w:r>
          </w:p>
        </w:tc>
        <w:tc>
          <w:tcPr>
            <w:tcW w:w="1331" w:type="dxa"/>
            <w:tcBorders/>
            <w:shd w:fill="D5EAEA" w:val="clear"/>
            <w:vAlign w:val="center"/>
          </w:tcPr>
          <w:p>
            <w:pPr>
              <w:pStyle w:val="TableContents"/>
              <w:bidi w:val="0"/>
              <w:spacing w:before="0" w:after="283"/>
              <w:jc w:val="right"/>
              <w:rPr>
                <w:sz w:val="20"/>
              </w:rPr>
            </w:pPr>
            <w:r>
              <w:rPr>
                <w:sz w:val="20"/>
              </w:rPr>
              <w:t>852</w:t>
            </w:r>
          </w:p>
        </w:tc>
        <w:tc>
          <w:tcPr>
            <w:tcW w:w="1369" w:type="dxa"/>
            <w:tcBorders/>
            <w:shd w:fill="D5EAEA" w:val="clear"/>
            <w:vAlign w:val="center"/>
          </w:tcPr>
          <w:p>
            <w:pPr>
              <w:pStyle w:val="TableContents"/>
              <w:bidi w:val="0"/>
              <w:spacing w:before="0" w:after="283"/>
              <w:jc w:val="right"/>
              <w:rPr>
                <w:sz w:val="20"/>
              </w:rPr>
            </w:pPr>
            <w:r>
              <w:rPr>
                <w:sz w:val="20"/>
              </w:rPr>
              <w:t>1,677</w:t>
            </w:r>
          </w:p>
        </w:tc>
        <w:tc>
          <w:tcPr>
            <w:tcW w:w="1402" w:type="dxa"/>
            <w:tcBorders/>
            <w:shd w:fill="D5EAEA" w:val="clear"/>
            <w:vAlign w:val="center"/>
          </w:tcPr>
          <w:p>
            <w:pPr>
              <w:pStyle w:val="TableContents"/>
              <w:bidi w:val="0"/>
              <w:spacing w:before="0" w:after="283"/>
              <w:jc w:val="right"/>
              <w:rPr>
                <w:sz w:val="20"/>
              </w:rPr>
            </w:pPr>
            <w:r>
              <w:rPr>
                <w:sz w:val="20"/>
              </w:rPr>
              <w:t>1,650</w:t>
            </w:r>
          </w:p>
        </w:tc>
      </w:tr>
      <w:tr>
        <w:trPr/>
        <w:tc>
          <w:tcPr>
            <w:tcW w:w="4535" w:type="dxa"/>
            <w:tcBorders/>
            <w:shd w:fill="FFFFFF" w:val="clear"/>
            <w:vAlign w:val="center"/>
          </w:tcPr>
          <w:p>
            <w:pPr>
              <w:pStyle w:val="TableContents"/>
              <w:bidi w:val="0"/>
              <w:spacing w:before="0" w:after="283"/>
              <w:jc w:val="left"/>
              <w:rPr>
                <w:sz w:val="20"/>
              </w:rPr>
            </w:pPr>
            <w:r>
              <w:rPr>
                <w:sz w:val="20"/>
              </w:rPr>
              <w:t xml:space="preserve">United Kingdom </w:t>
            </w:r>
          </w:p>
        </w:tc>
        <w:tc>
          <w:tcPr>
            <w:tcW w:w="1568" w:type="dxa"/>
            <w:tcBorders/>
            <w:shd w:fill="FFFFFF" w:val="clear"/>
            <w:vAlign w:val="center"/>
          </w:tcPr>
          <w:p>
            <w:pPr>
              <w:pStyle w:val="TableContents"/>
              <w:bidi w:val="0"/>
              <w:spacing w:before="0" w:after="283"/>
              <w:jc w:val="right"/>
              <w:rPr>
                <w:sz w:val="20"/>
              </w:rPr>
            </w:pPr>
            <w:r>
              <w:rPr>
                <w:sz w:val="20"/>
              </w:rPr>
              <w:t>22,466</w:t>
            </w:r>
          </w:p>
        </w:tc>
        <w:tc>
          <w:tcPr>
            <w:tcW w:w="1331" w:type="dxa"/>
            <w:tcBorders/>
            <w:shd w:fill="FFFFFF" w:val="clear"/>
            <w:vAlign w:val="center"/>
          </w:tcPr>
          <w:p>
            <w:pPr>
              <w:pStyle w:val="TableContents"/>
              <w:bidi w:val="0"/>
              <w:spacing w:before="0" w:after="283"/>
              <w:jc w:val="right"/>
              <w:rPr>
                <w:sz w:val="20"/>
              </w:rPr>
            </w:pPr>
            <w:r>
              <w:rPr>
                <w:sz w:val="20"/>
              </w:rPr>
              <w:t>18,644</w:t>
            </w:r>
          </w:p>
        </w:tc>
        <w:tc>
          <w:tcPr>
            <w:tcW w:w="1369" w:type="dxa"/>
            <w:tcBorders/>
            <w:shd w:fill="FFFFFF" w:val="clear"/>
            <w:vAlign w:val="center"/>
          </w:tcPr>
          <w:p>
            <w:pPr>
              <w:pStyle w:val="TableContents"/>
              <w:bidi w:val="0"/>
              <w:spacing w:before="0" w:after="283"/>
              <w:jc w:val="right"/>
              <w:rPr>
                <w:sz w:val="20"/>
              </w:rPr>
            </w:pPr>
            <w:r>
              <w:rPr>
                <w:sz w:val="20"/>
              </w:rPr>
              <w:t>42,891</w:t>
            </w:r>
          </w:p>
        </w:tc>
        <w:tc>
          <w:tcPr>
            <w:tcW w:w="1402" w:type="dxa"/>
            <w:tcBorders/>
            <w:shd w:fill="FFFFFF" w:val="clear"/>
            <w:vAlign w:val="center"/>
          </w:tcPr>
          <w:p>
            <w:pPr>
              <w:pStyle w:val="TableContents"/>
              <w:bidi w:val="0"/>
              <w:spacing w:before="0" w:after="283"/>
              <w:jc w:val="right"/>
              <w:rPr>
                <w:sz w:val="20"/>
              </w:rPr>
            </w:pPr>
            <w:r>
              <w:rPr>
                <w:sz w:val="20"/>
              </w:rPr>
              <w:t>37,051</w:t>
            </w:r>
          </w:p>
        </w:tc>
      </w:tr>
      <w:tr>
        <w:trPr/>
        <w:tc>
          <w:tcPr>
            <w:tcW w:w="4535" w:type="dxa"/>
            <w:tcBorders/>
            <w:shd w:fill="D5EAEA" w:val="clear"/>
            <w:vAlign w:val="center"/>
          </w:tcPr>
          <w:p>
            <w:pPr>
              <w:pStyle w:val="TableContents"/>
              <w:bidi w:val="0"/>
              <w:spacing w:before="0" w:after="283"/>
              <w:jc w:val="left"/>
              <w:rPr>
                <w:sz w:val="20"/>
              </w:rPr>
            </w:pPr>
            <w:r>
              <w:rPr>
                <w:sz w:val="20"/>
              </w:rPr>
              <w:t>Mexico</w:t>
            </w:r>
          </w:p>
        </w:tc>
        <w:tc>
          <w:tcPr>
            <w:tcW w:w="1568" w:type="dxa"/>
            <w:tcBorders/>
            <w:shd w:fill="D5EAEA" w:val="clear"/>
            <w:vAlign w:val="center"/>
          </w:tcPr>
          <w:p>
            <w:pPr>
              <w:pStyle w:val="TableContents"/>
              <w:bidi w:val="0"/>
              <w:spacing w:before="0" w:after="283"/>
              <w:jc w:val="right"/>
              <w:rPr>
                <w:sz w:val="20"/>
              </w:rPr>
            </w:pPr>
            <w:r>
              <w:rPr>
                <w:sz w:val="20"/>
              </w:rPr>
              <w:t>42</w:t>
            </w:r>
          </w:p>
        </w:tc>
        <w:tc>
          <w:tcPr>
            <w:tcW w:w="1331" w:type="dxa"/>
            <w:tcBorders/>
            <w:shd w:fill="D5EAEA" w:val="clear"/>
            <w:vAlign w:val="center"/>
          </w:tcPr>
          <w:p>
            <w:pPr>
              <w:pStyle w:val="TableContents"/>
              <w:bidi w:val="0"/>
              <w:spacing w:before="0" w:after="283"/>
              <w:jc w:val="right"/>
              <w:rPr>
                <w:sz w:val="20"/>
              </w:rPr>
            </w:pPr>
            <w:r>
              <w:rPr>
                <w:sz w:val="20"/>
              </w:rPr>
              <w:t>-</w:t>
            </w:r>
          </w:p>
        </w:tc>
        <w:tc>
          <w:tcPr>
            <w:tcW w:w="1369" w:type="dxa"/>
            <w:tcBorders/>
            <w:shd w:fill="D5EAEA" w:val="clear"/>
            <w:vAlign w:val="center"/>
          </w:tcPr>
          <w:p>
            <w:pPr>
              <w:pStyle w:val="TableContents"/>
              <w:bidi w:val="0"/>
              <w:spacing w:before="0" w:after="283"/>
              <w:jc w:val="right"/>
              <w:rPr>
                <w:sz w:val="20"/>
              </w:rPr>
            </w:pPr>
            <w:r>
              <w:rPr>
                <w:sz w:val="20"/>
              </w:rPr>
              <w:t>89</w:t>
            </w:r>
          </w:p>
        </w:tc>
        <w:tc>
          <w:tcPr>
            <w:tcW w:w="1402" w:type="dxa"/>
            <w:tcBorders/>
            <w:shd w:fill="D5EAEA" w:val="clear"/>
            <w:vAlign w:val="center"/>
          </w:tcPr>
          <w:p>
            <w:pPr>
              <w:pStyle w:val="TableContents"/>
              <w:bidi w:val="0"/>
              <w:spacing w:before="0" w:after="283"/>
              <w:jc w:val="right"/>
              <w:rPr>
                <w:b/>
                <w:sz w:val="20"/>
              </w:rPr>
            </w:pPr>
            <w:r>
              <w:rPr>
                <w:b/>
                <w:sz w:val="20"/>
              </w:rPr>
              <w:t>-</w:t>
            </w:r>
          </w:p>
        </w:tc>
      </w:tr>
      <w:tr>
        <w:trPr/>
        <w:tc>
          <w:tcPr>
            <w:tcW w:w="4535" w:type="dxa"/>
            <w:tcBorders/>
            <w:shd w:fill="FFFFFF" w:val="clear"/>
            <w:vAlign w:val="center"/>
          </w:tcPr>
          <w:p>
            <w:pPr>
              <w:pStyle w:val="TableContents"/>
              <w:bidi w:val="0"/>
              <w:spacing w:before="0" w:after="283"/>
              <w:jc w:val="left"/>
              <w:rPr>
                <w:sz w:val="20"/>
              </w:rPr>
            </w:pPr>
            <w:r>
              <w:rPr>
                <w:sz w:val="20"/>
              </w:rPr>
              <w:t>Peru</w:t>
            </w:r>
          </w:p>
        </w:tc>
        <w:tc>
          <w:tcPr>
            <w:tcW w:w="1568" w:type="dxa"/>
            <w:tcBorders/>
            <w:shd w:fill="FFFFFF" w:val="clear"/>
            <w:vAlign w:val="center"/>
          </w:tcPr>
          <w:p>
            <w:pPr>
              <w:pStyle w:val="TableContents"/>
              <w:bidi w:val="0"/>
              <w:spacing w:before="0" w:after="283"/>
              <w:jc w:val="right"/>
              <w:rPr>
                <w:sz w:val="20"/>
              </w:rPr>
            </w:pPr>
            <w:r>
              <w:rPr>
                <w:sz w:val="20"/>
              </w:rPr>
              <w:t>27</w:t>
            </w:r>
          </w:p>
        </w:tc>
        <w:tc>
          <w:tcPr>
            <w:tcW w:w="1331" w:type="dxa"/>
            <w:tcBorders/>
            <w:shd w:fill="FFFFFF" w:val="clear"/>
            <w:vAlign w:val="center"/>
          </w:tcPr>
          <w:p>
            <w:pPr>
              <w:pStyle w:val="TableContents"/>
              <w:bidi w:val="0"/>
              <w:spacing w:before="0" w:after="283"/>
              <w:jc w:val="right"/>
              <w:rPr>
                <w:sz w:val="20"/>
              </w:rPr>
            </w:pPr>
            <w:r>
              <w:rPr>
                <w:sz w:val="20"/>
              </w:rPr>
              <w:t>-</w:t>
            </w:r>
          </w:p>
        </w:tc>
        <w:tc>
          <w:tcPr>
            <w:tcW w:w="1369" w:type="dxa"/>
            <w:tcBorders/>
            <w:shd w:fill="FFFFFF" w:val="clear"/>
            <w:vAlign w:val="center"/>
          </w:tcPr>
          <w:p>
            <w:pPr>
              <w:pStyle w:val="TableContents"/>
              <w:bidi w:val="0"/>
              <w:spacing w:before="0" w:after="283"/>
              <w:jc w:val="right"/>
              <w:rPr>
                <w:sz w:val="20"/>
              </w:rPr>
            </w:pPr>
            <w:r>
              <w:rPr>
                <w:sz w:val="20"/>
              </w:rPr>
              <w:t>28</w:t>
            </w:r>
          </w:p>
        </w:tc>
        <w:tc>
          <w:tcPr>
            <w:tcW w:w="1402" w:type="dxa"/>
            <w:tcBorders/>
            <w:shd w:fill="FFFFFF" w:val="clear"/>
            <w:vAlign w:val="center"/>
          </w:tcPr>
          <w:p>
            <w:pPr>
              <w:pStyle w:val="TableContents"/>
              <w:bidi w:val="0"/>
              <w:spacing w:before="0" w:after="283"/>
              <w:jc w:val="right"/>
              <w:rPr>
                <w:b/>
                <w:sz w:val="20"/>
              </w:rPr>
            </w:pPr>
            <w:r>
              <w:rPr>
                <w:b/>
                <w:sz w:val="20"/>
              </w:rPr>
              <w:t>-</w:t>
            </w:r>
          </w:p>
        </w:tc>
      </w:tr>
      <w:tr>
        <w:trPr/>
        <w:tc>
          <w:tcPr>
            <w:tcW w:w="4535" w:type="dxa"/>
            <w:tcBorders/>
            <w:shd w:fill="D5EAEA" w:val="clear"/>
            <w:vAlign w:val="center"/>
          </w:tcPr>
          <w:p>
            <w:pPr>
              <w:pStyle w:val="TableContents"/>
              <w:bidi w:val="0"/>
              <w:spacing w:before="0" w:after="283"/>
              <w:jc w:val="left"/>
              <w:rPr>
                <w:sz w:val="20"/>
              </w:rPr>
            </w:pPr>
            <w:r>
              <w:rPr>
                <w:sz w:val="20"/>
              </w:rPr>
              <w:t>United States of America</w:t>
            </w:r>
          </w:p>
        </w:tc>
        <w:tc>
          <w:tcPr>
            <w:tcW w:w="1568"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5,196</w:t>
            </w:r>
          </w:p>
        </w:tc>
        <w:tc>
          <w:tcPr>
            <w:tcW w:w="133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740</w:t>
            </w:r>
          </w:p>
        </w:tc>
        <w:tc>
          <w:tcPr>
            <w:tcW w:w="1369"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6,034</w:t>
            </w:r>
          </w:p>
        </w:tc>
        <w:tc>
          <w:tcPr>
            <w:tcW w:w="140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1,758</w:t>
            </w:r>
          </w:p>
        </w:tc>
      </w:tr>
      <w:tr>
        <w:trPr/>
        <w:tc>
          <w:tcPr>
            <w:tcW w:w="4535" w:type="dxa"/>
            <w:tcBorders/>
            <w:shd w:fill="FFFFFF" w:val="clear"/>
            <w:vAlign w:val="center"/>
          </w:tcPr>
          <w:p>
            <w:pPr>
              <w:pStyle w:val="TableContents"/>
              <w:bidi w:val="0"/>
              <w:spacing w:before="0" w:after="283"/>
              <w:jc w:val="left"/>
              <w:rPr>
                <w:b/>
                <w:sz w:val="20"/>
              </w:rPr>
            </w:pPr>
            <w:r>
              <w:rPr>
                <w:b/>
                <w:sz w:val="20"/>
              </w:rPr>
              <w:t>Net revenue from services</w:t>
            </w:r>
          </w:p>
        </w:tc>
        <w:tc>
          <w:tcPr>
            <w:tcW w:w="1568"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111,290</w:t>
            </w:r>
          </w:p>
        </w:tc>
        <w:tc>
          <w:tcPr>
            <w:tcW w:w="1331"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82,522</w:t>
            </w:r>
          </w:p>
        </w:tc>
        <w:tc>
          <w:tcPr>
            <w:tcW w:w="136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208,359</w:t>
            </w:r>
          </w:p>
        </w:tc>
        <w:tc>
          <w:tcPr>
            <w:tcW w:w="140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162,089</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Growth in revenue from management fees compared to June 30, 2025, is driven by business combinations concluded during the first quarter of 2026 (refer to note 30) as well as inflows within the credit funds.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Disclosure of revenue by geographic location is based on the registered domicile of the manager receiving fees. The investment funds managed by the Company attract and retain many global investors that represent the Company's portfolio of clients. None of the Company's individual clients represent more than 10% of the total revenues for the periods presented.</w:t>
            </w:r>
          </w:p>
        </w:tc>
      </w:tr>
    </w:tbl>
    <w:p>
      <w:pPr>
        <w:pStyle w:val="TextBody"/>
        <w:bidi w:val="0"/>
        <w:spacing w:before="0" w:after="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35"/>
        <w:gridCol w:w="4700"/>
      </w:tblGrid>
      <w:tr>
        <w:trPr/>
        <w:tc>
          <w:tcPr>
            <w:tcW w:w="335" w:type="dxa"/>
            <w:tcBorders/>
            <w:vAlign w:val="center"/>
          </w:tcPr>
          <w:p>
            <w:pPr>
              <w:pStyle w:val="TableContents"/>
              <w:bidi w:val="0"/>
              <w:spacing w:before="0" w:after="283"/>
              <w:jc w:val="left"/>
              <w:rPr/>
            </w:pPr>
            <w:r>
              <w:rPr/>
              <w:t>23.</w:t>
            </w:r>
          </w:p>
        </w:tc>
        <w:tc>
          <w:tcPr>
            <w:tcW w:w="4700" w:type="dxa"/>
            <w:tcBorders/>
            <w:vAlign w:val="center"/>
          </w:tcPr>
          <w:p>
            <w:pPr>
              <w:pStyle w:val="TableContents"/>
              <w:bidi w:val="0"/>
              <w:spacing w:before="0" w:after="283"/>
              <w:jc w:val="left"/>
              <w:rPr/>
            </w:pPr>
            <w:r>
              <w:rPr/>
              <w:t>Personnel expenses and carried interest allocation</w:t>
            </w:r>
          </w:p>
        </w:tc>
      </w:tr>
    </w:tbl>
    <w:p>
      <w:pPr>
        <w:pStyle w:val="TextBody"/>
        <w:bidi w:val="0"/>
        <w:spacing w:before="0" w:after="0"/>
        <w:jc w:val="left"/>
        <w:rPr>
          <w:caps w:val="false"/>
          <w:smallCaps w:val="false"/>
        </w:rPr>
      </w:pPr>
      <w:r>
        <w:rPr>
          <w:caps w:val="false"/>
          <w:smallCaps w:val="false"/>
        </w:rPr>
        <w:t> </w:t>
      </w:r>
    </w:p>
    <w:tbl>
      <w:tblPr>
        <w:tblW w:w="9718" w:type="dxa"/>
        <w:jc w:val="center"/>
        <w:tblInd w:w="0" w:type="dxa"/>
        <w:tblLayout w:type="fixed"/>
        <w:tblCellMar>
          <w:top w:w="0" w:type="dxa"/>
          <w:left w:w="0" w:type="dxa"/>
          <w:bottom w:w="0" w:type="dxa"/>
          <w:right w:w="0" w:type="dxa"/>
        </w:tblCellMar>
      </w:tblPr>
      <w:tblGrid>
        <w:gridCol w:w="3830"/>
        <w:gridCol w:w="1510"/>
        <w:gridCol w:w="1510"/>
        <w:gridCol w:w="1461"/>
        <w:gridCol w:w="1273"/>
        <w:gridCol w:w="134"/>
      </w:tblGrid>
      <w:tr>
        <w:trPr/>
        <w:tc>
          <w:tcPr>
            <w:tcW w:w="3830" w:type="dxa"/>
            <w:tcBorders/>
            <w:vAlign w:val="center"/>
          </w:tcPr>
          <w:p>
            <w:pPr>
              <w:pStyle w:val="TableContents"/>
              <w:bidi w:val="0"/>
              <w:spacing w:before="0" w:after="283"/>
              <w:jc w:val="left"/>
              <w:rPr/>
            </w:pPr>
            <w:r>
              <w:rPr/>
              <w:t> </w:t>
            </w:r>
          </w:p>
        </w:tc>
        <w:tc>
          <w:tcPr>
            <w:tcW w:w="30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June 30,</w:t>
            </w:r>
          </w:p>
        </w:tc>
        <w:tc>
          <w:tcPr>
            <w:tcW w:w="286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periods ended June 30,</w:t>
            </w:r>
          </w:p>
        </w:tc>
      </w:tr>
      <w:tr>
        <w:trPr/>
        <w:tc>
          <w:tcPr>
            <w:tcW w:w="3830" w:type="dxa"/>
            <w:tcBorders/>
            <w:vAlign w:val="center"/>
          </w:tcPr>
          <w:p>
            <w:pPr>
              <w:pStyle w:val="TableContents"/>
              <w:bidi w:val="0"/>
              <w:spacing w:before="0" w:after="283"/>
              <w:jc w:val="left"/>
              <w:rPr/>
            </w:pPr>
            <w:r>
              <w:rPr/>
              <w:t> </w:t>
            </w:r>
          </w:p>
        </w:tc>
        <w:tc>
          <w:tcPr>
            <w:tcW w:w="15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5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46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27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34" w:type="dxa"/>
            <w:tcBorders/>
            <w:vAlign w:val="center"/>
          </w:tcPr>
          <w:p>
            <w:pPr>
              <w:pStyle w:val="TableContents"/>
              <w:bidi w:val="0"/>
              <w:spacing w:before="0" w:after="283"/>
              <w:jc w:val="left"/>
              <w:rPr/>
            </w:pPr>
            <w:r>
              <w:rPr/>
              <w:t> </w:t>
            </w:r>
          </w:p>
        </w:tc>
      </w:tr>
      <w:tr>
        <w:trPr/>
        <w:tc>
          <w:tcPr>
            <w:tcW w:w="3830" w:type="dxa"/>
            <w:tcBorders/>
            <w:shd w:fill="D5EAEA" w:val="clear"/>
            <w:vAlign w:val="center"/>
          </w:tcPr>
          <w:p>
            <w:pPr>
              <w:pStyle w:val="TableContents"/>
              <w:bidi w:val="0"/>
              <w:spacing w:before="0" w:after="283"/>
              <w:jc w:val="left"/>
              <w:rPr>
                <w:sz w:val="20"/>
              </w:rPr>
            </w:pPr>
            <w:r>
              <w:rPr>
                <w:sz w:val="20"/>
              </w:rPr>
              <w:t xml:space="preserve">Salaries and wages </w:t>
            </w:r>
          </w:p>
        </w:tc>
        <w:tc>
          <w:tcPr>
            <w:tcW w:w="1510" w:type="dxa"/>
            <w:tcBorders/>
            <w:shd w:fill="D5EAEA" w:val="clear"/>
            <w:vAlign w:val="center"/>
          </w:tcPr>
          <w:p>
            <w:pPr>
              <w:pStyle w:val="TableContents"/>
              <w:bidi w:val="0"/>
              <w:spacing w:before="0" w:after="283"/>
              <w:jc w:val="right"/>
              <w:rPr>
                <w:sz w:val="20"/>
              </w:rPr>
            </w:pPr>
            <w:r>
              <w:rPr>
                <w:sz w:val="20"/>
              </w:rPr>
              <w:t>(19,556)</w:t>
            </w:r>
          </w:p>
        </w:tc>
        <w:tc>
          <w:tcPr>
            <w:tcW w:w="1510" w:type="dxa"/>
            <w:tcBorders/>
            <w:shd w:fill="D5EAEA" w:val="clear"/>
            <w:vAlign w:val="center"/>
          </w:tcPr>
          <w:p>
            <w:pPr>
              <w:pStyle w:val="TableContents"/>
              <w:bidi w:val="0"/>
              <w:spacing w:before="0" w:after="283"/>
              <w:jc w:val="right"/>
              <w:rPr>
                <w:sz w:val="20"/>
              </w:rPr>
            </w:pPr>
            <w:r>
              <w:rPr>
                <w:sz w:val="20"/>
              </w:rPr>
              <w:t>(13,997)</w:t>
            </w:r>
          </w:p>
        </w:tc>
        <w:tc>
          <w:tcPr>
            <w:tcW w:w="1461" w:type="dxa"/>
            <w:tcBorders/>
            <w:shd w:fill="D5EAEA" w:val="clear"/>
            <w:vAlign w:val="center"/>
          </w:tcPr>
          <w:p>
            <w:pPr>
              <w:pStyle w:val="TableContents"/>
              <w:bidi w:val="0"/>
              <w:spacing w:before="0" w:after="283"/>
              <w:jc w:val="right"/>
              <w:rPr>
                <w:sz w:val="20"/>
              </w:rPr>
            </w:pPr>
            <w:r>
              <w:rPr>
                <w:sz w:val="20"/>
              </w:rPr>
              <w:t>(35,552)</w:t>
            </w:r>
          </w:p>
        </w:tc>
        <w:tc>
          <w:tcPr>
            <w:tcW w:w="1273" w:type="dxa"/>
            <w:tcBorders/>
            <w:shd w:fill="D5EAEA" w:val="clear"/>
            <w:vAlign w:val="center"/>
          </w:tcPr>
          <w:p>
            <w:pPr>
              <w:pStyle w:val="TableContents"/>
              <w:bidi w:val="0"/>
              <w:spacing w:before="0" w:after="283"/>
              <w:jc w:val="right"/>
              <w:rPr>
                <w:sz w:val="20"/>
              </w:rPr>
            </w:pPr>
            <w:r>
              <w:rPr>
                <w:sz w:val="20"/>
              </w:rPr>
              <w:t>(27,844)</w:t>
            </w:r>
          </w:p>
        </w:tc>
        <w:tc>
          <w:tcPr>
            <w:tcW w:w="134" w:type="dxa"/>
            <w:tcBorders/>
            <w:shd w:fill="D5EAEA"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sz w:val="20"/>
              </w:rPr>
            </w:pPr>
            <w:r>
              <w:rPr>
                <w:sz w:val="20"/>
              </w:rPr>
              <w:t>Rewards and bonuses</w:t>
            </w:r>
          </w:p>
        </w:tc>
        <w:tc>
          <w:tcPr>
            <w:tcW w:w="1510" w:type="dxa"/>
            <w:tcBorders/>
            <w:shd w:fill="FFFFFF" w:val="clear"/>
            <w:vAlign w:val="center"/>
          </w:tcPr>
          <w:p>
            <w:pPr>
              <w:pStyle w:val="TableContents"/>
              <w:bidi w:val="0"/>
              <w:spacing w:before="0" w:after="283"/>
              <w:jc w:val="right"/>
              <w:rPr>
                <w:sz w:val="20"/>
              </w:rPr>
            </w:pPr>
            <w:r>
              <w:rPr>
                <w:sz w:val="20"/>
              </w:rPr>
              <w:t>(15,900)</w:t>
            </w:r>
          </w:p>
        </w:tc>
        <w:tc>
          <w:tcPr>
            <w:tcW w:w="1510" w:type="dxa"/>
            <w:tcBorders/>
            <w:shd w:fill="FFFFFF" w:val="clear"/>
            <w:vAlign w:val="center"/>
          </w:tcPr>
          <w:p>
            <w:pPr>
              <w:pStyle w:val="TableContents"/>
              <w:bidi w:val="0"/>
              <w:spacing w:before="0" w:after="283"/>
              <w:jc w:val="right"/>
              <w:rPr>
                <w:sz w:val="20"/>
              </w:rPr>
            </w:pPr>
            <w:r>
              <w:rPr>
                <w:sz w:val="20"/>
              </w:rPr>
              <w:t>(7,465)</w:t>
            </w:r>
          </w:p>
        </w:tc>
        <w:tc>
          <w:tcPr>
            <w:tcW w:w="1461" w:type="dxa"/>
            <w:tcBorders/>
            <w:shd w:fill="FFFFFF" w:val="clear"/>
            <w:vAlign w:val="center"/>
          </w:tcPr>
          <w:p>
            <w:pPr>
              <w:pStyle w:val="TableContents"/>
              <w:bidi w:val="0"/>
              <w:spacing w:before="0" w:after="283"/>
              <w:jc w:val="right"/>
              <w:rPr>
                <w:sz w:val="20"/>
              </w:rPr>
            </w:pPr>
            <w:r>
              <w:rPr>
                <w:sz w:val="20"/>
              </w:rPr>
              <w:t>(26,892)</w:t>
            </w:r>
          </w:p>
        </w:tc>
        <w:tc>
          <w:tcPr>
            <w:tcW w:w="1273" w:type="dxa"/>
            <w:tcBorders/>
            <w:shd w:fill="FFFFFF" w:val="clear"/>
            <w:vAlign w:val="center"/>
          </w:tcPr>
          <w:p>
            <w:pPr>
              <w:pStyle w:val="TableContents"/>
              <w:bidi w:val="0"/>
              <w:spacing w:before="0" w:after="283"/>
              <w:jc w:val="right"/>
              <w:rPr>
                <w:sz w:val="20"/>
              </w:rPr>
            </w:pPr>
            <w:r>
              <w:rPr>
                <w:sz w:val="20"/>
              </w:rPr>
              <w:t>(13,157)</w:t>
            </w:r>
          </w:p>
        </w:tc>
        <w:tc>
          <w:tcPr>
            <w:tcW w:w="134" w:type="dxa"/>
            <w:tcBorders/>
            <w:shd w:fill="FFFFFF" w:val="clear"/>
            <w:vAlign w:val="center"/>
          </w:tcPr>
          <w:p>
            <w:pPr>
              <w:pStyle w:val="TableContents"/>
              <w:bidi w:val="0"/>
              <w:spacing w:before="0" w:after="283"/>
              <w:jc w:val="left"/>
              <w:rPr/>
            </w:pPr>
            <w:r>
              <w:rPr/>
              <w:t> </w:t>
            </w:r>
          </w:p>
        </w:tc>
      </w:tr>
      <w:tr>
        <w:trPr/>
        <w:tc>
          <w:tcPr>
            <w:tcW w:w="3830" w:type="dxa"/>
            <w:tcBorders/>
            <w:shd w:fill="D5EAEA" w:val="clear"/>
            <w:vAlign w:val="center"/>
          </w:tcPr>
          <w:p>
            <w:pPr>
              <w:pStyle w:val="TableContents"/>
              <w:bidi w:val="0"/>
              <w:spacing w:before="0" w:after="283"/>
              <w:jc w:val="left"/>
              <w:rPr>
                <w:sz w:val="20"/>
              </w:rPr>
            </w:pPr>
            <w:r>
              <w:rPr>
                <w:sz w:val="20"/>
              </w:rPr>
              <w:t>Social security contributions and payroll taxes</w:t>
            </w:r>
          </w:p>
        </w:tc>
        <w:tc>
          <w:tcPr>
            <w:tcW w:w="1510" w:type="dxa"/>
            <w:tcBorders/>
            <w:shd w:fill="D5EAEA" w:val="clear"/>
            <w:vAlign w:val="center"/>
          </w:tcPr>
          <w:p>
            <w:pPr>
              <w:pStyle w:val="TableContents"/>
              <w:bidi w:val="0"/>
              <w:spacing w:before="0" w:after="283"/>
              <w:jc w:val="right"/>
              <w:rPr>
                <w:sz w:val="20"/>
              </w:rPr>
            </w:pPr>
            <w:r>
              <w:rPr>
                <w:sz w:val="20"/>
              </w:rPr>
              <w:t>(3,324)</w:t>
            </w:r>
          </w:p>
        </w:tc>
        <w:tc>
          <w:tcPr>
            <w:tcW w:w="1510" w:type="dxa"/>
            <w:tcBorders/>
            <w:shd w:fill="D5EAEA" w:val="clear"/>
            <w:vAlign w:val="center"/>
          </w:tcPr>
          <w:p>
            <w:pPr>
              <w:pStyle w:val="TableContents"/>
              <w:bidi w:val="0"/>
              <w:spacing w:before="0" w:after="283"/>
              <w:jc w:val="right"/>
              <w:rPr>
                <w:sz w:val="20"/>
              </w:rPr>
            </w:pPr>
            <w:r>
              <w:rPr>
                <w:sz w:val="20"/>
              </w:rPr>
              <w:t>(2,122)</w:t>
            </w:r>
          </w:p>
        </w:tc>
        <w:tc>
          <w:tcPr>
            <w:tcW w:w="1461" w:type="dxa"/>
            <w:tcBorders/>
            <w:shd w:fill="D5EAEA" w:val="clear"/>
            <w:vAlign w:val="center"/>
          </w:tcPr>
          <w:p>
            <w:pPr>
              <w:pStyle w:val="TableContents"/>
              <w:bidi w:val="0"/>
              <w:spacing w:before="0" w:after="283"/>
              <w:jc w:val="right"/>
              <w:rPr>
                <w:sz w:val="20"/>
              </w:rPr>
            </w:pPr>
            <w:r>
              <w:rPr>
                <w:sz w:val="20"/>
              </w:rPr>
              <w:t>(7,116)</w:t>
            </w:r>
          </w:p>
        </w:tc>
        <w:tc>
          <w:tcPr>
            <w:tcW w:w="1273" w:type="dxa"/>
            <w:tcBorders/>
            <w:shd w:fill="D5EAEA" w:val="clear"/>
            <w:vAlign w:val="center"/>
          </w:tcPr>
          <w:p>
            <w:pPr>
              <w:pStyle w:val="TableContents"/>
              <w:bidi w:val="0"/>
              <w:spacing w:before="0" w:after="283"/>
              <w:jc w:val="right"/>
              <w:rPr>
                <w:sz w:val="20"/>
              </w:rPr>
            </w:pPr>
            <w:r>
              <w:rPr>
                <w:sz w:val="20"/>
              </w:rPr>
              <w:t>(4,312)</w:t>
            </w:r>
          </w:p>
        </w:tc>
        <w:tc>
          <w:tcPr>
            <w:tcW w:w="134" w:type="dxa"/>
            <w:tcBorders/>
            <w:shd w:fill="D5EAEA"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sz w:val="20"/>
              </w:rPr>
            </w:pPr>
            <w:r>
              <w:rPr>
                <w:sz w:val="20"/>
              </w:rPr>
              <w:t>Strategic Bonus</w:t>
            </w:r>
          </w:p>
        </w:tc>
        <w:tc>
          <w:tcPr>
            <w:tcW w:w="1510" w:type="dxa"/>
            <w:tcBorders/>
            <w:shd w:fill="FFFFFF" w:val="clear"/>
            <w:vAlign w:val="center"/>
          </w:tcPr>
          <w:p>
            <w:pPr>
              <w:pStyle w:val="TableContents"/>
              <w:bidi w:val="0"/>
              <w:spacing w:before="0" w:after="283"/>
              <w:jc w:val="right"/>
              <w:rPr>
                <w:sz w:val="20"/>
              </w:rPr>
            </w:pPr>
            <w:r>
              <w:rPr>
                <w:sz w:val="20"/>
              </w:rPr>
              <w:t>-</w:t>
            </w:r>
          </w:p>
        </w:tc>
        <w:tc>
          <w:tcPr>
            <w:tcW w:w="1510" w:type="dxa"/>
            <w:tcBorders/>
            <w:shd w:fill="FFFFFF" w:val="clear"/>
            <w:vAlign w:val="center"/>
          </w:tcPr>
          <w:p>
            <w:pPr>
              <w:pStyle w:val="TableContents"/>
              <w:bidi w:val="0"/>
              <w:spacing w:before="0" w:after="283"/>
              <w:jc w:val="right"/>
              <w:rPr>
                <w:sz w:val="20"/>
              </w:rPr>
            </w:pPr>
            <w:r>
              <w:rPr>
                <w:sz w:val="20"/>
              </w:rPr>
              <w:t>(202)</w:t>
            </w:r>
          </w:p>
        </w:tc>
        <w:tc>
          <w:tcPr>
            <w:tcW w:w="1461" w:type="dxa"/>
            <w:tcBorders/>
            <w:shd w:fill="FFFFFF" w:val="clear"/>
            <w:vAlign w:val="center"/>
          </w:tcPr>
          <w:p>
            <w:pPr>
              <w:pStyle w:val="TableContents"/>
              <w:bidi w:val="0"/>
              <w:spacing w:before="0" w:after="283"/>
              <w:jc w:val="right"/>
              <w:rPr>
                <w:sz w:val="20"/>
              </w:rPr>
            </w:pPr>
            <w:r>
              <w:rPr>
                <w:sz w:val="20"/>
              </w:rPr>
              <w:t>-</w:t>
            </w:r>
          </w:p>
        </w:tc>
        <w:tc>
          <w:tcPr>
            <w:tcW w:w="1273" w:type="dxa"/>
            <w:tcBorders/>
            <w:shd w:fill="FFFFFF" w:val="clear"/>
            <w:vAlign w:val="center"/>
          </w:tcPr>
          <w:p>
            <w:pPr>
              <w:pStyle w:val="TableContents"/>
              <w:bidi w:val="0"/>
              <w:spacing w:before="0" w:after="283"/>
              <w:jc w:val="right"/>
              <w:rPr>
                <w:sz w:val="20"/>
              </w:rPr>
            </w:pPr>
            <w:r>
              <w:rPr>
                <w:sz w:val="20"/>
              </w:rPr>
              <w:t>(401)</w:t>
            </w:r>
          </w:p>
        </w:tc>
        <w:tc>
          <w:tcPr>
            <w:tcW w:w="134" w:type="dxa"/>
            <w:tcBorders/>
            <w:shd w:fill="FFFFFF" w:val="clear"/>
            <w:vAlign w:val="center"/>
          </w:tcPr>
          <w:p>
            <w:pPr>
              <w:pStyle w:val="TableContents"/>
              <w:bidi w:val="0"/>
              <w:spacing w:before="0" w:after="283"/>
              <w:jc w:val="left"/>
              <w:rPr/>
            </w:pPr>
            <w:r>
              <w:rPr/>
              <w:t> </w:t>
            </w:r>
          </w:p>
        </w:tc>
      </w:tr>
      <w:tr>
        <w:trPr/>
        <w:tc>
          <w:tcPr>
            <w:tcW w:w="3830" w:type="dxa"/>
            <w:tcBorders/>
            <w:shd w:fill="D5EAEA" w:val="clear"/>
            <w:vAlign w:val="center"/>
          </w:tcPr>
          <w:p>
            <w:pPr>
              <w:pStyle w:val="TableContents"/>
              <w:bidi w:val="0"/>
              <w:spacing w:before="0" w:after="283"/>
              <w:jc w:val="left"/>
              <w:rPr>
                <w:sz w:val="20"/>
              </w:rPr>
            </w:pPr>
            <w:r>
              <w:rPr>
                <w:sz w:val="20"/>
              </w:rPr>
              <w:t>Restructuring costs – personnel</w:t>
            </w:r>
          </w:p>
        </w:tc>
        <w:tc>
          <w:tcPr>
            <w:tcW w:w="1510" w:type="dxa"/>
            <w:tcBorders/>
            <w:shd w:fill="D5EAEA" w:val="clear"/>
            <w:vAlign w:val="center"/>
          </w:tcPr>
          <w:p>
            <w:pPr>
              <w:pStyle w:val="TableContents"/>
              <w:bidi w:val="0"/>
              <w:spacing w:before="0" w:after="283"/>
              <w:jc w:val="right"/>
              <w:rPr>
                <w:sz w:val="20"/>
              </w:rPr>
            </w:pPr>
            <w:r>
              <w:rPr>
                <w:sz w:val="20"/>
              </w:rPr>
              <w:t>(6,543)</w:t>
            </w:r>
          </w:p>
        </w:tc>
        <w:tc>
          <w:tcPr>
            <w:tcW w:w="1510" w:type="dxa"/>
            <w:tcBorders/>
            <w:shd w:fill="D5EAEA" w:val="clear"/>
            <w:vAlign w:val="center"/>
          </w:tcPr>
          <w:p>
            <w:pPr>
              <w:pStyle w:val="TableContents"/>
              <w:bidi w:val="0"/>
              <w:spacing w:before="0" w:after="283"/>
              <w:jc w:val="right"/>
              <w:rPr>
                <w:sz w:val="20"/>
              </w:rPr>
            </w:pPr>
            <w:r>
              <w:rPr>
                <w:sz w:val="20"/>
              </w:rPr>
              <w:t>(2,962)</w:t>
            </w:r>
          </w:p>
        </w:tc>
        <w:tc>
          <w:tcPr>
            <w:tcW w:w="1461" w:type="dxa"/>
            <w:tcBorders/>
            <w:shd w:fill="D5EAEA" w:val="clear"/>
            <w:vAlign w:val="center"/>
          </w:tcPr>
          <w:p>
            <w:pPr>
              <w:pStyle w:val="TableContents"/>
              <w:bidi w:val="0"/>
              <w:spacing w:before="0" w:after="283"/>
              <w:jc w:val="right"/>
              <w:rPr>
                <w:sz w:val="20"/>
              </w:rPr>
            </w:pPr>
            <w:r>
              <w:rPr>
                <w:sz w:val="20"/>
              </w:rPr>
              <w:t>(14,557)</w:t>
            </w:r>
          </w:p>
        </w:tc>
        <w:tc>
          <w:tcPr>
            <w:tcW w:w="1273" w:type="dxa"/>
            <w:tcBorders/>
            <w:shd w:fill="D5EAEA" w:val="clear"/>
            <w:vAlign w:val="center"/>
          </w:tcPr>
          <w:p>
            <w:pPr>
              <w:pStyle w:val="TableContents"/>
              <w:bidi w:val="0"/>
              <w:spacing w:before="0" w:after="283"/>
              <w:jc w:val="right"/>
              <w:rPr>
                <w:sz w:val="20"/>
              </w:rPr>
            </w:pPr>
            <w:r>
              <w:rPr>
                <w:sz w:val="20"/>
              </w:rPr>
              <w:t>(4,105)</w:t>
            </w:r>
          </w:p>
        </w:tc>
        <w:tc>
          <w:tcPr>
            <w:tcW w:w="134" w:type="dxa"/>
            <w:tcBorders/>
            <w:shd w:fill="D5EAEA"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sz w:val="20"/>
              </w:rPr>
            </w:pPr>
            <w:r>
              <w:rPr>
                <w:sz w:val="20"/>
              </w:rPr>
              <w:t>Share based incentive plan (refer to note 29(d))</w:t>
            </w:r>
          </w:p>
        </w:tc>
        <w:tc>
          <w:tcPr>
            <w:tcW w:w="1510" w:type="dxa"/>
            <w:tcBorders/>
            <w:shd w:fill="FFFFFF" w:val="clear"/>
            <w:vAlign w:val="center"/>
          </w:tcPr>
          <w:p>
            <w:pPr>
              <w:pStyle w:val="TableContents"/>
              <w:bidi w:val="0"/>
              <w:spacing w:before="0" w:after="283"/>
              <w:jc w:val="right"/>
              <w:rPr>
                <w:sz w:val="20"/>
              </w:rPr>
            </w:pPr>
            <w:r>
              <w:rPr>
                <w:sz w:val="20"/>
              </w:rPr>
              <w:t>(6,119)</w:t>
            </w:r>
          </w:p>
        </w:tc>
        <w:tc>
          <w:tcPr>
            <w:tcW w:w="1510" w:type="dxa"/>
            <w:tcBorders/>
            <w:shd w:fill="FFFFFF" w:val="clear"/>
            <w:vAlign w:val="center"/>
          </w:tcPr>
          <w:p>
            <w:pPr>
              <w:pStyle w:val="TableContents"/>
              <w:bidi w:val="0"/>
              <w:spacing w:before="0" w:after="283"/>
              <w:jc w:val="right"/>
              <w:rPr>
                <w:sz w:val="20"/>
              </w:rPr>
            </w:pPr>
            <w:r>
              <w:rPr>
                <w:sz w:val="20"/>
              </w:rPr>
              <w:t>(3,856)</w:t>
            </w:r>
          </w:p>
        </w:tc>
        <w:tc>
          <w:tcPr>
            <w:tcW w:w="1461" w:type="dxa"/>
            <w:tcBorders/>
            <w:shd w:fill="FFFFFF" w:val="clear"/>
            <w:vAlign w:val="center"/>
          </w:tcPr>
          <w:p>
            <w:pPr>
              <w:pStyle w:val="TableContents"/>
              <w:bidi w:val="0"/>
              <w:spacing w:before="0" w:after="283"/>
              <w:jc w:val="right"/>
              <w:rPr>
                <w:sz w:val="20"/>
              </w:rPr>
            </w:pPr>
            <w:r>
              <w:rPr>
                <w:sz w:val="20"/>
              </w:rPr>
              <w:t>(11,626)</w:t>
            </w:r>
          </w:p>
        </w:tc>
        <w:tc>
          <w:tcPr>
            <w:tcW w:w="1273" w:type="dxa"/>
            <w:tcBorders/>
            <w:shd w:fill="FFFFFF" w:val="clear"/>
            <w:vAlign w:val="center"/>
          </w:tcPr>
          <w:p>
            <w:pPr>
              <w:pStyle w:val="TableContents"/>
              <w:bidi w:val="0"/>
              <w:spacing w:before="0" w:after="283"/>
              <w:jc w:val="right"/>
              <w:rPr>
                <w:sz w:val="20"/>
              </w:rPr>
            </w:pPr>
            <w:r>
              <w:rPr>
                <w:sz w:val="20"/>
              </w:rPr>
              <w:t>(7,439)</w:t>
            </w:r>
          </w:p>
        </w:tc>
        <w:tc>
          <w:tcPr>
            <w:tcW w:w="134" w:type="dxa"/>
            <w:tcBorders/>
            <w:shd w:fill="FFFFFF" w:val="clear"/>
            <w:vAlign w:val="center"/>
          </w:tcPr>
          <w:p>
            <w:pPr>
              <w:pStyle w:val="TableContents"/>
              <w:bidi w:val="0"/>
              <w:spacing w:before="0" w:after="283"/>
              <w:jc w:val="left"/>
              <w:rPr/>
            </w:pPr>
            <w:r>
              <w:rPr/>
              <w:t> </w:t>
            </w:r>
          </w:p>
        </w:tc>
      </w:tr>
      <w:tr>
        <w:trPr/>
        <w:tc>
          <w:tcPr>
            <w:tcW w:w="3830" w:type="dxa"/>
            <w:tcBorders/>
            <w:shd w:fill="D5EAEA" w:val="clear"/>
            <w:vAlign w:val="center"/>
          </w:tcPr>
          <w:p>
            <w:pPr>
              <w:pStyle w:val="TableContents"/>
              <w:bidi w:val="0"/>
              <w:spacing w:before="0" w:after="283"/>
              <w:jc w:val="left"/>
              <w:rPr>
                <w:sz w:val="20"/>
              </w:rPr>
            </w:pPr>
            <w:r>
              <w:rPr>
                <w:sz w:val="20"/>
              </w:rPr>
              <w:t>Other short-term benefits</w:t>
            </w:r>
          </w:p>
        </w:tc>
        <w:tc>
          <w:tcPr>
            <w:tcW w:w="151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(3,336)</w:t>
            </w:r>
          </w:p>
        </w:tc>
        <w:tc>
          <w:tcPr>
            <w:tcW w:w="151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(2,478)</w:t>
            </w:r>
          </w:p>
        </w:tc>
        <w:tc>
          <w:tcPr>
            <w:tcW w:w="146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(5,936)</w:t>
            </w:r>
          </w:p>
        </w:tc>
        <w:tc>
          <w:tcPr>
            <w:tcW w:w="1273"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(4,892)</w:t>
            </w:r>
          </w:p>
        </w:tc>
        <w:tc>
          <w:tcPr>
            <w:tcW w:w="134" w:type="dxa"/>
            <w:tcBorders/>
            <w:shd w:fill="D5EAEA"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b/>
                <w:sz w:val="20"/>
              </w:rPr>
            </w:pPr>
            <w:r>
              <w:rPr>
                <w:b/>
                <w:sz w:val="20"/>
              </w:rPr>
              <w:t>Personnel expenses</w:t>
            </w:r>
          </w:p>
        </w:tc>
        <w:tc>
          <w:tcPr>
            <w:tcW w:w="1510"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(54,778)</w:t>
            </w:r>
          </w:p>
        </w:tc>
        <w:tc>
          <w:tcPr>
            <w:tcW w:w="1510"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(33,082)</w:t>
            </w:r>
          </w:p>
        </w:tc>
        <w:tc>
          <w:tcPr>
            <w:tcW w:w="1461"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(101,679)</w:t>
            </w:r>
          </w:p>
        </w:tc>
        <w:tc>
          <w:tcPr>
            <w:tcW w:w="1273"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(62,150)</w:t>
            </w:r>
          </w:p>
        </w:tc>
        <w:tc>
          <w:tcPr>
            <w:tcW w:w="134" w:type="dxa"/>
            <w:tcBorders/>
            <w:shd w:fill="FFFFFF" w:val="clear"/>
            <w:vAlign w:val="center"/>
          </w:tcPr>
          <w:p>
            <w:pPr>
              <w:pStyle w:val="TableContents"/>
              <w:bidi w:val="0"/>
              <w:spacing w:before="0" w:after="283"/>
              <w:jc w:val="left"/>
              <w:rPr/>
            </w:pPr>
            <w:r>
              <w:rPr/>
              <w:t> </w:t>
            </w:r>
          </w:p>
        </w:tc>
      </w:tr>
      <w:tr>
        <w:trPr/>
        <w:tc>
          <w:tcPr>
            <w:tcW w:w="3830" w:type="dxa"/>
            <w:tcBorders/>
            <w:shd w:fill="D5EAEA" w:val="clear"/>
            <w:vAlign w:val="center"/>
          </w:tcPr>
          <w:p>
            <w:pPr>
              <w:pStyle w:val="TableContents"/>
              <w:bidi w:val="0"/>
              <w:spacing w:before="0" w:after="283"/>
              <w:jc w:val="left"/>
              <w:rPr>
                <w:b/>
                <w:sz w:val="20"/>
              </w:rPr>
            </w:pPr>
            <w:r>
              <w:rPr>
                <w:b/>
                <w:sz w:val="20"/>
              </w:rPr>
              <w:t>Carried interest allocation expenses (a)</w:t>
            </w:r>
          </w:p>
        </w:tc>
        <w:tc>
          <w:tcPr>
            <w:tcW w:w="1510"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c>
          <w:tcPr>
            <w:tcW w:w="1510"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(897)</w:t>
            </w:r>
          </w:p>
        </w:tc>
        <w:tc>
          <w:tcPr>
            <w:tcW w:w="1461"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c>
          <w:tcPr>
            <w:tcW w:w="1273"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(897)</w:t>
            </w:r>
          </w:p>
        </w:tc>
        <w:tc>
          <w:tcPr>
            <w:tcW w:w="134" w:type="dxa"/>
            <w:tcBorders/>
            <w:shd w:fill="D5EAEA" w:val="clear"/>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215"/>
        <w:gridCol w:w="9916"/>
      </w:tblGrid>
      <w:tr>
        <w:trPr/>
        <w:tc>
          <w:tcPr>
            <w:tcW w:w="7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916"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both"/>
              <w:rPr/>
            </w:pPr>
            <w:r>
              <w:rPr/>
              <w:t>Carried interest allocation refers to the Company’s employees’ right to up to 35% of the performance fees recognized from certain investments funds. As of June 30, 2026, US$ 28.9 million (US$ 22.1 million as current and US$ 6.8 million as non-current) (December 31, 2025: US$ 27.6 million with US$ 19.3 million as current and US$ 8.3 million as non-current) remains payable primarily related to performance fees recognized from investment funds.</w:t>
            </w:r>
          </w:p>
        </w:tc>
      </w:tr>
    </w:tbl>
    <w:p>
      <w:pPr>
        <w:pStyle w:val="TextBody"/>
        <w:bidi w:val="0"/>
        <w:spacing w:before="0" w:after="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335"/>
        <w:gridCol w:w="3125"/>
      </w:tblGrid>
      <w:tr>
        <w:trPr/>
        <w:tc>
          <w:tcPr>
            <w:tcW w:w="335" w:type="dxa"/>
            <w:tcBorders/>
            <w:vAlign w:val="center"/>
          </w:tcPr>
          <w:p>
            <w:pPr>
              <w:pStyle w:val="TableContents"/>
              <w:bidi w:val="0"/>
              <w:spacing w:before="0" w:after="283"/>
              <w:jc w:val="left"/>
              <w:rPr/>
            </w:pPr>
            <w:r>
              <w:rPr/>
              <w:t>24.</w:t>
            </w:r>
          </w:p>
        </w:tc>
        <w:tc>
          <w:tcPr>
            <w:tcW w:w="3125" w:type="dxa"/>
            <w:tcBorders/>
            <w:vAlign w:val="center"/>
          </w:tcPr>
          <w:p>
            <w:pPr>
              <w:pStyle w:val="TableContents"/>
              <w:bidi w:val="0"/>
              <w:spacing w:before="0" w:after="283"/>
              <w:jc w:val="left"/>
              <w:rPr/>
            </w:pPr>
            <w:r>
              <w:rPr/>
              <w:t>Amortization of intangible assets</w:t>
            </w:r>
          </w:p>
        </w:tc>
      </w:tr>
    </w:tbl>
    <w:p>
      <w:pPr>
        <w:pStyle w:val="TextBody"/>
        <w:bidi w:val="0"/>
        <w:spacing w:before="0" w:after="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4450"/>
        <w:gridCol w:w="1591"/>
        <w:gridCol w:w="1355"/>
        <w:gridCol w:w="1389"/>
        <w:gridCol w:w="1420"/>
      </w:tblGrid>
      <w:tr>
        <w:trPr/>
        <w:tc>
          <w:tcPr>
            <w:tcW w:w="4450" w:type="dxa"/>
            <w:tcBorders/>
            <w:vAlign w:val="center"/>
          </w:tcPr>
          <w:p>
            <w:pPr>
              <w:pStyle w:val="TableContents"/>
              <w:bidi w:val="0"/>
              <w:spacing w:before="0" w:after="283"/>
              <w:jc w:val="both"/>
              <w:rPr/>
            </w:pPr>
            <w:r>
              <w:rPr/>
              <w:t> </w:t>
            </w:r>
          </w:p>
        </w:tc>
        <w:tc>
          <w:tcPr>
            <w:tcW w:w="29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June 30,</w:t>
            </w:r>
          </w:p>
        </w:tc>
        <w:tc>
          <w:tcPr>
            <w:tcW w:w="280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periods ended June 30,</w:t>
            </w:r>
          </w:p>
        </w:tc>
      </w:tr>
      <w:tr>
        <w:trPr/>
        <w:tc>
          <w:tcPr>
            <w:tcW w:w="4450" w:type="dxa"/>
            <w:tcBorders/>
            <w:vAlign w:val="center"/>
          </w:tcPr>
          <w:p>
            <w:pPr>
              <w:pStyle w:val="TableContents"/>
              <w:bidi w:val="0"/>
              <w:spacing w:before="0" w:after="283"/>
              <w:jc w:val="left"/>
              <w:rPr/>
            </w:pPr>
            <w:r>
              <w:rPr/>
              <w:t> </w:t>
            </w:r>
          </w:p>
        </w:tc>
        <w:tc>
          <w:tcPr>
            <w:tcW w:w="159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3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389"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42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4450"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pPr>
            <w:r>
              <w:rPr/>
              <w:t> </w:t>
            </w:r>
          </w:p>
        </w:tc>
        <w:tc>
          <w:tcPr>
            <w:tcW w:w="1389" w:type="dxa"/>
            <w:tcBorders/>
            <w:vAlign w:val="center"/>
          </w:tcPr>
          <w:p>
            <w:pPr>
              <w:pStyle w:val="TableContents"/>
              <w:bidi w:val="0"/>
              <w:spacing w:before="0" w:after="283"/>
              <w:jc w:val="right"/>
              <w:rPr/>
            </w:pPr>
            <w:r>
              <w:rPr/>
              <w:t> </w:t>
            </w:r>
          </w:p>
        </w:tc>
        <w:tc>
          <w:tcPr>
            <w:tcW w:w="1420" w:type="dxa"/>
            <w:tcBorders/>
            <w:vAlign w:val="center"/>
          </w:tcPr>
          <w:p>
            <w:pPr>
              <w:pStyle w:val="TableContents"/>
              <w:bidi w:val="0"/>
              <w:spacing w:before="0" w:after="283"/>
              <w:jc w:val="right"/>
              <w:rPr/>
            </w:pPr>
            <w:r>
              <w:rPr/>
              <w:t> </w:t>
            </w:r>
          </w:p>
        </w:tc>
      </w:tr>
      <w:tr>
        <w:trPr/>
        <w:tc>
          <w:tcPr>
            <w:tcW w:w="4450" w:type="dxa"/>
            <w:tcBorders/>
            <w:shd w:fill="D5EAEA" w:val="clear"/>
            <w:vAlign w:val="center"/>
          </w:tcPr>
          <w:p>
            <w:pPr>
              <w:pStyle w:val="TableContents"/>
              <w:bidi w:val="0"/>
              <w:spacing w:before="0" w:after="283"/>
              <w:jc w:val="left"/>
              <w:rPr>
                <w:sz w:val="20"/>
              </w:rPr>
            </w:pPr>
            <w:r>
              <w:rPr>
                <w:sz w:val="20"/>
              </w:rPr>
              <w:t xml:space="preserve">Amortization of non-contractual customer relationships </w:t>
            </w:r>
          </w:p>
        </w:tc>
        <w:tc>
          <w:tcPr>
            <w:tcW w:w="1591" w:type="dxa"/>
            <w:tcBorders/>
            <w:shd w:fill="D5EAEA" w:val="clear"/>
            <w:vAlign w:val="center"/>
          </w:tcPr>
          <w:p>
            <w:pPr>
              <w:pStyle w:val="TableContents"/>
              <w:bidi w:val="0"/>
              <w:spacing w:before="0" w:after="283"/>
              <w:jc w:val="right"/>
              <w:rPr>
                <w:sz w:val="20"/>
              </w:rPr>
            </w:pPr>
            <w:r>
              <w:rPr>
                <w:sz w:val="20"/>
              </w:rPr>
              <w:t>(3,642)</w:t>
            </w:r>
          </w:p>
        </w:tc>
        <w:tc>
          <w:tcPr>
            <w:tcW w:w="1355" w:type="dxa"/>
            <w:tcBorders/>
            <w:shd w:fill="D5EAEA" w:val="clear"/>
            <w:vAlign w:val="center"/>
          </w:tcPr>
          <w:p>
            <w:pPr>
              <w:pStyle w:val="TableContents"/>
              <w:bidi w:val="0"/>
              <w:spacing w:before="0" w:after="283"/>
              <w:jc w:val="right"/>
              <w:rPr>
                <w:sz w:val="20"/>
              </w:rPr>
            </w:pPr>
            <w:r>
              <w:rPr>
                <w:sz w:val="20"/>
              </w:rPr>
              <w:t>(2,703)</w:t>
            </w:r>
          </w:p>
        </w:tc>
        <w:tc>
          <w:tcPr>
            <w:tcW w:w="1389" w:type="dxa"/>
            <w:tcBorders/>
            <w:shd w:fill="D5EAEA" w:val="clear"/>
            <w:vAlign w:val="center"/>
          </w:tcPr>
          <w:p>
            <w:pPr>
              <w:pStyle w:val="TableContents"/>
              <w:bidi w:val="0"/>
              <w:spacing w:before="0" w:after="283"/>
              <w:jc w:val="right"/>
              <w:rPr>
                <w:sz w:val="20"/>
              </w:rPr>
            </w:pPr>
            <w:r>
              <w:rPr>
                <w:sz w:val="20"/>
              </w:rPr>
              <w:t>(7,277)</w:t>
            </w:r>
          </w:p>
        </w:tc>
        <w:tc>
          <w:tcPr>
            <w:tcW w:w="1420" w:type="dxa"/>
            <w:tcBorders/>
            <w:shd w:fill="D5EAEA" w:val="clear"/>
            <w:vAlign w:val="center"/>
          </w:tcPr>
          <w:p>
            <w:pPr>
              <w:pStyle w:val="TableContents"/>
              <w:bidi w:val="0"/>
              <w:spacing w:before="0" w:after="283"/>
              <w:jc w:val="right"/>
              <w:rPr>
                <w:sz w:val="20"/>
              </w:rPr>
            </w:pPr>
            <w:r>
              <w:rPr>
                <w:sz w:val="20"/>
              </w:rPr>
              <w:t>(6,921)</w:t>
            </w:r>
          </w:p>
        </w:tc>
      </w:tr>
      <w:tr>
        <w:trPr/>
        <w:tc>
          <w:tcPr>
            <w:tcW w:w="4450" w:type="dxa"/>
            <w:tcBorders/>
            <w:shd w:fill="FFFFFF" w:val="clear"/>
            <w:vAlign w:val="center"/>
          </w:tcPr>
          <w:p>
            <w:pPr>
              <w:pStyle w:val="TableContents"/>
              <w:bidi w:val="0"/>
              <w:spacing w:before="0" w:after="283"/>
              <w:jc w:val="left"/>
              <w:rPr>
                <w:sz w:val="20"/>
              </w:rPr>
            </w:pPr>
            <w:r>
              <w:rPr>
                <w:sz w:val="20"/>
              </w:rPr>
              <w:t xml:space="preserve">Amortization of contractual rights </w:t>
            </w:r>
          </w:p>
        </w:tc>
        <w:tc>
          <w:tcPr>
            <w:tcW w:w="1591" w:type="dxa"/>
            <w:tcBorders/>
            <w:shd w:fill="FFFFFF" w:val="clear"/>
            <w:vAlign w:val="center"/>
          </w:tcPr>
          <w:p>
            <w:pPr>
              <w:pStyle w:val="TableContents"/>
              <w:bidi w:val="0"/>
              <w:spacing w:before="0" w:after="283"/>
              <w:jc w:val="right"/>
              <w:rPr>
                <w:sz w:val="20"/>
              </w:rPr>
            </w:pPr>
            <w:r>
              <w:rPr>
                <w:sz w:val="20"/>
              </w:rPr>
              <w:t>(6,878)</w:t>
            </w:r>
          </w:p>
        </w:tc>
        <w:tc>
          <w:tcPr>
            <w:tcW w:w="1355" w:type="dxa"/>
            <w:tcBorders/>
            <w:shd w:fill="FFFFFF" w:val="clear"/>
            <w:vAlign w:val="center"/>
          </w:tcPr>
          <w:p>
            <w:pPr>
              <w:pStyle w:val="TableContents"/>
              <w:bidi w:val="0"/>
              <w:spacing w:before="0" w:after="283"/>
              <w:jc w:val="right"/>
              <w:rPr>
                <w:sz w:val="20"/>
              </w:rPr>
            </w:pPr>
            <w:r>
              <w:rPr>
                <w:sz w:val="20"/>
              </w:rPr>
              <w:t>(4,002)</w:t>
            </w:r>
          </w:p>
        </w:tc>
        <w:tc>
          <w:tcPr>
            <w:tcW w:w="1389" w:type="dxa"/>
            <w:tcBorders/>
            <w:shd w:fill="FFFFFF" w:val="clear"/>
            <w:vAlign w:val="center"/>
          </w:tcPr>
          <w:p>
            <w:pPr>
              <w:pStyle w:val="TableContents"/>
              <w:bidi w:val="0"/>
              <w:spacing w:before="0" w:after="283"/>
              <w:jc w:val="right"/>
              <w:rPr>
                <w:sz w:val="20"/>
              </w:rPr>
            </w:pPr>
            <w:r>
              <w:rPr>
                <w:sz w:val="20"/>
              </w:rPr>
              <w:t>(9,982)</w:t>
            </w:r>
          </w:p>
        </w:tc>
        <w:tc>
          <w:tcPr>
            <w:tcW w:w="1420" w:type="dxa"/>
            <w:tcBorders/>
            <w:shd w:fill="FFFFFF" w:val="clear"/>
            <w:vAlign w:val="center"/>
          </w:tcPr>
          <w:p>
            <w:pPr>
              <w:pStyle w:val="TableContents"/>
              <w:bidi w:val="0"/>
              <w:spacing w:before="0" w:after="283"/>
              <w:jc w:val="right"/>
              <w:rPr>
                <w:sz w:val="20"/>
              </w:rPr>
            </w:pPr>
            <w:r>
              <w:rPr>
                <w:sz w:val="20"/>
              </w:rPr>
              <w:t>(7,285)</w:t>
            </w:r>
          </w:p>
        </w:tc>
      </w:tr>
      <w:tr>
        <w:trPr/>
        <w:tc>
          <w:tcPr>
            <w:tcW w:w="4450" w:type="dxa"/>
            <w:tcBorders/>
            <w:shd w:fill="D5EAEA" w:val="clear"/>
            <w:vAlign w:val="center"/>
          </w:tcPr>
          <w:p>
            <w:pPr>
              <w:pStyle w:val="TableContents"/>
              <w:bidi w:val="0"/>
              <w:spacing w:before="0" w:after="283"/>
              <w:jc w:val="left"/>
              <w:rPr>
                <w:sz w:val="20"/>
              </w:rPr>
            </w:pPr>
            <w:r>
              <w:rPr>
                <w:sz w:val="20"/>
              </w:rPr>
              <w:t xml:space="preserve">Amortization of placement agents’ fees </w:t>
            </w:r>
          </w:p>
        </w:tc>
        <w:tc>
          <w:tcPr>
            <w:tcW w:w="1591" w:type="dxa"/>
            <w:tcBorders/>
            <w:shd w:fill="D5EAEA" w:val="clear"/>
            <w:vAlign w:val="center"/>
          </w:tcPr>
          <w:p>
            <w:pPr>
              <w:pStyle w:val="TableContents"/>
              <w:bidi w:val="0"/>
              <w:spacing w:before="0" w:after="283"/>
              <w:jc w:val="right"/>
              <w:rPr>
                <w:sz w:val="20"/>
              </w:rPr>
            </w:pPr>
            <w:r>
              <w:rPr>
                <w:sz w:val="20"/>
              </w:rPr>
              <w:t>(580)</w:t>
            </w:r>
          </w:p>
        </w:tc>
        <w:tc>
          <w:tcPr>
            <w:tcW w:w="1355" w:type="dxa"/>
            <w:tcBorders/>
            <w:shd w:fill="D5EAEA" w:val="clear"/>
            <w:vAlign w:val="center"/>
          </w:tcPr>
          <w:p>
            <w:pPr>
              <w:pStyle w:val="TableContents"/>
              <w:bidi w:val="0"/>
              <w:spacing w:before="0" w:after="283"/>
              <w:jc w:val="right"/>
              <w:rPr>
                <w:sz w:val="20"/>
              </w:rPr>
            </w:pPr>
            <w:r>
              <w:rPr>
                <w:sz w:val="20"/>
              </w:rPr>
              <w:t>(679)</w:t>
            </w:r>
          </w:p>
        </w:tc>
        <w:tc>
          <w:tcPr>
            <w:tcW w:w="1389" w:type="dxa"/>
            <w:tcBorders/>
            <w:shd w:fill="D5EAEA" w:val="clear"/>
            <w:vAlign w:val="center"/>
          </w:tcPr>
          <w:p>
            <w:pPr>
              <w:pStyle w:val="TableContents"/>
              <w:bidi w:val="0"/>
              <w:spacing w:before="0" w:after="283"/>
              <w:jc w:val="right"/>
              <w:rPr>
                <w:sz w:val="20"/>
              </w:rPr>
            </w:pPr>
            <w:r>
              <w:rPr>
                <w:sz w:val="20"/>
              </w:rPr>
              <w:t>(1,118)</w:t>
            </w:r>
          </w:p>
        </w:tc>
        <w:tc>
          <w:tcPr>
            <w:tcW w:w="1420" w:type="dxa"/>
            <w:tcBorders/>
            <w:shd w:fill="D5EAEA" w:val="clear"/>
            <w:vAlign w:val="center"/>
          </w:tcPr>
          <w:p>
            <w:pPr>
              <w:pStyle w:val="TableContents"/>
              <w:bidi w:val="0"/>
              <w:spacing w:before="0" w:after="283"/>
              <w:jc w:val="right"/>
              <w:rPr>
                <w:sz w:val="20"/>
              </w:rPr>
            </w:pPr>
            <w:r>
              <w:rPr>
                <w:sz w:val="20"/>
              </w:rPr>
              <w:t>(1,339)</w:t>
            </w:r>
          </w:p>
        </w:tc>
      </w:tr>
      <w:tr>
        <w:trPr/>
        <w:tc>
          <w:tcPr>
            <w:tcW w:w="4450" w:type="dxa"/>
            <w:tcBorders/>
            <w:shd w:fill="FFFFFF" w:val="clear"/>
            <w:vAlign w:val="center"/>
          </w:tcPr>
          <w:p>
            <w:pPr>
              <w:pStyle w:val="TableContents"/>
              <w:bidi w:val="0"/>
              <w:spacing w:before="0" w:after="283"/>
              <w:jc w:val="left"/>
              <w:rPr>
                <w:sz w:val="20"/>
              </w:rPr>
            </w:pPr>
            <w:r>
              <w:rPr>
                <w:sz w:val="20"/>
              </w:rPr>
              <w:t xml:space="preserve">Amortization of brands </w:t>
            </w:r>
          </w:p>
        </w:tc>
        <w:tc>
          <w:tcPr>
            <w:tcW w:w="1591" w:type="dxa"/>
            <w:tcBorders/>
            <w:shd w:fill="FFFFFF" w:val="clear"/>
            <w:vAlign w:val="center"/>
          </w:tcPr>
          <w:p>
            <w:pPr>
              <w:pStyle w:val="TableContents"/>
              <w:bidi w:val="0"/>
              <w:spacing w:before="0" w:after="283"/>
              <w:jc w:val="right"/>
              <w:rPr>
                <w:sz w:val="20"/>
              </w:rPr>
            </w:pPr>
            <w:r>
              <w:rPr>
                <w:sz w:val="20"/>
              </w:rPr>
              <w:t>(959)</w:t>
            </w:r>
          </w:p>
        </w:tc>
        <w:tc>
          <w:tcPr>
            <w:tcW w:w="1355" w:type="dxa"/>
            <w:tcBorders/>
            <w:shd w:fill="FFFFFF" w:val="clear"/>
            <w:vAlign w:val="center"/>
          </w:tcPr>
          <w:p>
            <w:pPr>
              <w:pStyle w:val="TableContents"/>
              <w:bidi w:val="0"/>
              <w:spacing w:before="0" w:after="283"/>
              <w:jc w:val="right"/>
              <w:rPr>
                <w:sz w:val="20"/>
              </w:rPr>
            </w:pPr>
            <w:r>
              <w:rPr>
                <w:sz w:val="20"/>
              </w:rPr>
              <w:t>(924)</w:t>
            </w:r>
          </w:p>
        </w:tc>
        <w:tc>
          <w:tcPr>
            <w:tcW w:w="1389" w:type="dxa"/>
            <w:tcBorders/>
            <w:shd w:fill="FFFFFF" w:val="clear"/>
            <w:vAlign w:val="center"/>
          </w:tcPr>
          <w:p>
            <w:pPr>
              <w:pStyle w:val="TableContents"/>
              <w:bidi w:val="0"/>
              <w:spacing w:before="0" w:after="283"/>
              <w:jc w:val="right"/>
              <w:rPr>
                <w:sz w:val="20"/>
              </w:rPr>
            </w:pPr>
            <w:r>
              <w:rPr>
                <w:sz w:val="20"/>
              </w:rPr>
              <w:t>(1,921)</w:t>
            </w:r>
          </w:p>
        </w:tc>
        <w:tc>
          <w:tcPr>
            <w:tcW w:w="1420" w:type="dxa"/>
            <w:tcBorders/>
            <w:shd w:fill="FFFFFF" w:val="clear"/>
            <w:vAlign w:val="center"/>
          </w:tcPr>
          <w:p>
            <w:pPr>
              <w:pStyle w:val="TableContents"/>
              <w:bidi w:val="0"/>
              <w:spacing w:before="0" w:after="283"/>
              <w:jc w:val="right"/>
              <w:rPr>
                <w:sz w:val="20"/>
              </w:rPr>
            </w:pPr>
            <w:r>
              <w:rPr>
                <w:sz w:val="20"/>
              </w:rPr>
              <w:t>(1,834)</w:t>
            </w:r>
          </w:p>
        </w:tc>
      </w:tr>
      <w:tr>
        <w:trPr/>
        <w:tc>
          <w:tcPr>
            <w:tcW w:w="4450" w:type="dxa"/>
            <w:tcBorders/>
            <w:shd w:fill="D5EAEA" w:val="clear"/>
            <w:vAlign w:val="center"/>
          </w:tcPr>
          <w:p>
            <w:pPr>
              <w:pStyle w:val="TableContents"/>
              <w:bidi w:val="0"/>
              <w:spacing w:before="0" w:after="283"/>
              <w:jc w:val="left"/>
              <w:rPr>
                <w:sz w:val="20"/>
              </w:rPr>
            </w:pPr>
            <w:r>
              <w:rPr>
                <w:sz w:val="20"/>
              </w:rPr>
              <w:t xml:space="preserve">Amortization of software </w:t>
            </w:r>
          </w:p>
        </w:tc>
        <w:tc>
          <w:tcPr>
            <w:tcW w:w="1591" w:type="dxa"/>
            <w:tcBorders/>
            <w:shd w:fill="D5EAEA" w:val="clear"/>
            <w:vAlign w:val="center"/>
          </w:tcPr>
          <w:p>
            <w:pPr>
              <w:pStyle w:val="TableContents"/>
              <w:bidi w:val="0"/>
              <w:spacing w:before="0" w:after="283"/>
              <w:jc w:val="right"/>
              <w:rPr>
                <w:sz w:val="20"/>
              </w:rPr>
            </w:pPr>
            <w:r>
              <w:rPr>
                <w:sz w:val="20"/>
              </w:rPr>
              <w:t>(536)</w:t>
            </w:r>
          </w:p>
        </w:tc>
        <w:tc>
          <w:tcPr>
            <w:tcW w:w="1355" w:type="dxa"/>
            <w:tcBorders/>
            <w:shd w:fill="D5EAEA" w:val="clear"/>
            <w:vAlign w:val="center"/>
          </w:tcPr>
          <w:p>
            <w:pPr>
              <w:pStyle w:val="TableContents"/>
              <w:bidi w:val="0"/>
              <w:spacing w:before="0" w:after="283"/>
              <w:jc w:val="right"/>
              <w:rPr>
                <w:sz w:val="20"/>
              </w:rPr>
            </w:pPr>
            <w:r>
              <w:rPr>
                <w:sz w:val="20"/>
              </w:rPr>
              <w:t>(460)</w:t>
            </w:r>
          </w:p>
        </w:tc>
        <w:tc>
          <w:tcPr>
            <w:tcW w:w="1389" w:type="dxa"/>
            <w:tcBorders/>
            <w:shd w:fill="D5EAEA" w:val="clear"/>
            <w:vAlign w:val="center"/>
          </w:tcPr>
          <w:p>
            <w:pPr>
              <w:pStyle w:val="TableContents"/>
              <w:bidi w:val="0"/>
              <w:spacing w:before="0" w:after="283"/>
              <w:jc w:val="right"/>
              <w:rPr>
                <w:sz w:val="20"/>
              </w:rPr>
            </w:pPr>
            <w:r>
              <w:rPr>
                <w:sz w:val="20"/>
              </w:rPr>
              <w:t>(1,086)</w:t>
            </w:r>
          </w:p>
        </w:tc>
        <w:tc>
          <w:tcPr>
            <w:tcW w:w="1420" w:type="dxa"/>
            <w:tcBorders/>
            <w:shd w:fill="D5EAEA" w:val="clear"/>
            <w:vAlign w:val="center"/>
          </w:tcPr>
          <w:p>
            <w:pPr>
              <w:pStyle w:val="TableContents"/>
              <w:bidi w:val="0"/>
              <w:spacing w:before="0" w:after="283"/>
              <w:jc w:val="right"/>
              <w:rPr>
                <w:sz w:val="20"/>
              </w:rPr>
            </w:pPr>
            <w:r>
              <w:rPr>
                <w:sz w:val="20"/>
              </w:rPr>
              <w:t>(893)</w:t>
            </w:r>
          </w:p>
        </w:tc>
      </w:tr>
      <w:tr>
        <w:trPr/>
        <w:tc>
          <w:tcPr>
            <w:tcW w:w="4450" w:type="dxa"/>
            <w:tcBorders/>
            <w:shd w:fill="FFFFFF" w:val="clear"/>
            <w:vAlign w:val="center"/>
          </w:tcPr>
          <w:p>
            <w:pPr>
              <w:pStyle w:val="TableContents"/>
              <w:bidi w:val="0"/>
              <w:spacing w:before="0" w:after="283"/>
              <w:jc w:val="left"/>
              <w:rPr>
                <w:sz w:val="20"/>
              </w:rPr>
            </w:pPr>
            <w:r>
              <w:rPr>
                <w:sz w:val="20"/>
              </w:rPr>
              <w:t>Amortization of non-competes</w:t>
            </w:r>
          </w:p>
        </w:tc>
        <w:tc>
          <w:tcPr>
            <w:tcW w:w="1591" w:type="dxa"/>
            <w:tcBorders/>
            <w:shd w:fill="FFFFFF" w:val="clear"/>
            <w:vAlign w:val="center"/>
          </w:tcPr>
          <w:p>
            <w:pPr>
              <w:pStyle w:val="TableContents"/>
              <w:bidi w:val="0"/>
              <w:spacing w:before="0" w:after="283"/>
              <w:jc w:val="right"/>
              <w:rPr>
                <w:sz w:val="20"/>
              </w:rPr>
            </w:pPr>
            <w:r>
              <w:rPr>
                <w:sz w:val="20"/>
              </w:rPr>
              <w:t>(476)</w:t>
            </w:r>
          </w:p>
        </w:tc>
        <w:tc>
          <w:tcPr>
            <w:tcW w:w="1355" w:type="dxa"/>
            <w:tcBorders/>
            <w:shd w:fill="FFFFFF" w:val="clear"/>
            <w:vAlign w:val="center"/>
          </w:tcPr>
          <w:p>
            <w:pPr>
              <w:pStyle w:val="TableContents"/>
              <w:bidi w:val="0"/>
              <w:spacing w:before="0" w:after="283"/>
              <w:jc w:val="right"/>
              <w:rPr>
                <w:sz w:val="20"/>
              </w:rPr>
            </w:pPr>
            <w:r>
              <w:rPr>
                <w:sz w:val="20"/>
              </w:rPr>
              <w:t>(456)</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(940)</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(888)</w:t>
            </w:r>
          </w:p>
        </w:tc>
      </w:tr>
      <w:tr>
        <w:trPr/>
        <w:tc>
          <w:tcPr>
            <w:tcW w:w="4450" w:type="dxa"/>
            <w:tcBorders/>
            <w:shd w:fill="D5EAEA" w:val="clear"/>
            <w:vAlign w:val="center"/>
          </w:tcPr>
          <w:p>
            <w:pPr>
              <w:pStyle w:val="TableContents"/>
              <w:bidi w:val="0"/>
              <w:spacing w:before="0" w:after="283"/>
              <w:jc w:val="left"/>
              <w:rPr>
                <w:b/>
                <w:sz w:val="20"/>
              </w:rPr>
            </w:pPr>
            <w:r>
              <w:rPr>
                <w:b/>
                <w:sz w:val="20"/>
              </w:rPr>
              <w:t>Amortization of intangible assets (refer to note 14)</w:t>
            </w:r>
          </w:p>
        </w:tc>
        <w:tc>
          <w:tcPr>
            <w:tcW w:w="1591"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(13,071)</w:t>
            </w:r>
          </w:p>
        </w:tc>
        <w:tc>
          <w:tcPr>
            <w:tcW w:w="1355"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(9,224)</w:t>
            </w:r>
          </w:p>
        </w:tc>
        <w:tc>
          <w:tcPr>
            <w:tcW w:w="1389"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(22,324)</w:t>
            </w:r>
          </w:p>
        </w:tc>
        <w:tc>
          <w:tcPr>
            <w:tcW w:w="1420"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(19,160)</w:t>
            </w:r>
          </w:p>
        </w:tc>
      </w:tr>
    </w:tbl>
    <w:p>
      <w:pPr>
        <w:pStyle w:val="TextBody"/>
        <w:bidi w:val="0"/>
        <w:spacing w:before="0" w:after="283"/>
        <w:jc w:val="left"/>
        <w:rPr/>
      </w:pPr>
      <w:r>
        <w:rPr/>
        <w:t> </w:t>
      </w:r>
    </w:p>
    <w:tbl>
      <w:tblPr>
        <w:tblW w:w="3895" w:type="dxa"/>
        <w:jc w:val="left"/>
        <w:tblInd w:w="0" w:type="dxa"/>
        <w:tblLayout w:type="fixed"/>
        <w:tblCellMar>
          <w:top w:w="0" w:type="dxa"/>
          <w:left w:w="0" w:type="dxa"/>
          <w:bottom w:w="0" w:type="dxa"/>
          <w:right w:w="0" w:type="dxa"/>
        </w:tblCellMar>
      </w:tblPr>
      <w:tblGrid>
        <w:gridCol w:w="335"/>
        <w:gridCol w:w="3560"/>
      </w:tblGrid>
      <w:tr>
        <w:trPr/>
        <w:tc>
          <w:tcPr>
            <w:tcW w:w="335" w:type="dxa"/>
            <w:tcBorders/>
            <w:vAlign w:val="center"/>
          </w:tcPr>
          <w:p>
            <w:pPr>
              <w:pStyle w:val="TableContents"/>
              <w:bidi w:val="0"/>
              <w:spacing w:before="0" w:after="283"/>
              <w:jc w:val="left"/>
              <w:rPr/>
            </w:pPr>
            <w:r>
              <w:rPr/>
              <w:t>25.</w:t>
            </w:r>
          </w:p>
        </w:tc>
        <w:tc>
          <w:tcPr>
            <w:tcW w:w="3560" w:type="dxa"/>
            <w:tcBorders/>
            <w:vAlign w:val="center"/>
          </w:tcPr>
          <w:p>
            <w:pPr>
              <w:pStyle w:val="TableContents"/>
              <w:bidi w:val="0"/>
              <w:spacing w:before="0" w:after="283"/>
              <w:jc w:val="left"/>
              <w:rPr/>
            </w:pPr>
            <w:r>
              <w:rPr/>
              <w:t>General and Administrative expenses</w:t>
            </w:r>
          </w:p>
        </w:tc>
      </w:tr>
    </w:tbl>
    <w:p>
      <w:pPr>
        <w:pStyle w:val="TextBody"/>
        <w:bidi w:val="0"/>
        <w:spacing w:before="0" w:after="0"/>
        <w:jc w:val="left"/>
        <w:rPr>
          <w:caps w:val="false"/>
          <w:smallCaps w:val="false"/>
        </w:rPr>
      </w:pPr>
      <w:r>
        <w:rPr>
          <w:caps w:val="false"/>
          <w:smallCaps w:val="false"/>
        </w:rPr>
        <w:t> </w:t>
      </w:r>
    </w:p>
    <w:tbl>
      <w:tblPr>
        <w:tblW w:w="9180" w:type="dxa"/>
        <w:jc w:val="center"/>
        <w:tblInd w:w="0" w:type="dxa"/>
        <w:tblLayout w:type="fixed"/>
        <w:tblCellMar>
          <w:top w:w="0" w:type="dxa"/>
          <w:left w:w="0" w:type="dxa"/>
          <w:bottom w:w="0" w:type="dxa"/>
          <w:right w:w="0" w:type="dxa"/>
        </w:tblCellMar>
      </w:tblPr>
      <w:tblGrid>
        <w:gridCol w:w="3290"/>
        <w:gridCol w:w="1510"/>
        <w:gridCol w:w="1510"/>
        <w:gridCol w:w="1420"/>
        <w:gridCol w:w="1450"/>
      </w:tblGrid>
      <w:tr>
        <w:trPr/>
        <w:tc>
          <w:tcPr>
            <w:tcW w:w="3290" w:type="dxa"/>
            <w:tcBorders/>
            <w:vAlign w:val="center"/>
          </w:tcPr>
          <w:p>
            <w:pPr>
              <w:pStyle w:val="TableContents"/>
              <w:bidi w:val="0"/>
              <w:spacing w:before="0" w:after="283"/>
              <w:jc w:val="left"/>
              <w:rPr/>
            </w:pPr>
            <w:r>
              <w:rPr/>
              <w:t> </w:t>
            </w:r>
          </w:p>
        </w:tc>
        <w:tc>
          <w:tcPr>
            <w:tcW w:w="30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June 30,</w:t>
            </w:r>
          </w:p>
        </w:tc>
        <w:tc>
          <w:tcPr>
            <w:tcW w:w="28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periods ended June 30,</w:t>
            </w:r>
          </w:p>
        </w:tc>
      </w:tr>
      <w:tr>
        <w:trPr/>
        <w:tc>
          <w:tcPr>
            <w:tcW w:w="3290" w:type="dxa"/>
            <w:tcBorders/>
            <w:vAlign w:val="center"/>
          </w:tcPr>
          <w:p>
            <w:pPr>
              <w:pStyle w:val="TableContents"/>
              <w:bidi w:val="0"/>
              <w:spacing w:before="0" w:after="283"/>
              <w:jc w:val="left"/>
              <w:rPr/>
            </w:pPr>
            <w:r>
              <w:rPr/>
              <w:t> </w:t>
            </w:r>
          </w:p>
        </w:tc>
        <w:tc>
          <w:tcPr>
            <w:tcW w:w="15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5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42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4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3290" w:type="dxa"/>
            <w:tcBorders/>
            <w:shd w:fill="D5EAEA" w:val="clear"/>
            <w:vAlign w:val="center"/>
          </w:tcPr>
          <w:p>
            <w:pPr>
              <w:pStyle w:val="TableContents"/>
              <w:bidi w:val="0"/>
              <w:spacing w:before="0" w:after="283"/>
              <w:jc w:val="left"/>
              <w:rPr>
                <w:sz w:val="20"/>
              </w:rPr>
            </w:pPr>
            <w:r>
              <w:rPr>
                <w:sz w:val="20"/>
              </w:rPr>
              <w:t xml:space="preserve">Professional services </w:t>
            </w:r>
          </w:p>
        </w:tc>
        <w:tc>
          <w:tcPr>
            <w:tcW w:w="1510" w:type="dxa"/>
            <w:tcBorders/>
            <w:shd w:fill="D5EAEA" w:val="clear"/>
            <w:vAlign w:val="center"/>
          </w:tcPr>
          <w:p>
            <w:pPr>
              <w:pStyle w:val="TableContents"/>
              <w:bidi w:val="0"/>
              <w:spacing w:before="0" w:after="283"/>
              <w:jc w:val="right"/>
              <w:rPr>
                <w:sz w:val="20"/>
              </w:rPr>
            </w:pPr>
            <w:r>
              <w:rPr>
                <w:sz w:val="20"/>
              </w:rPr>
              <w:t>(5,837)</w:t>
            </w:r>
          </w:p>
        </w:tc>
        <w:tc>
          <w:tcPr>
            <w:tcW w:w="1510" w:type="dxa"/>
            <w:tcBorders/>
            <w:shd w:fill="D5EAEA" w:val="clear"/>
            <w:vAlign w:val="center"/>
          </w:tcPr>
          <w:p>
            <w:pPr>
              <w:pStyle w:val="TableContents"/>
              <w:bidi w:val="0"/>
              <w:spacing w:before="0" w:after="283"/>
              <w:jc w:val="right"/>
              <w:rPr>
                <w:sz w:val="20"/>
              </w:rPr>
            </w:pPr>
            <w:r>
              <w:rPr>
                <w:sz w:val="20"/>
              </w:rPr>
              <w:t>(4,486)</w:t>
            </w:r>
          </w:p>
        </w:tc>
        <w:tc>
          <w:tcPr>
            <w:tcW w:w="1420" w:type="dxa"/>
            <w:tcBorders/>
            <w:shd w:fill="D5EAEA" w:val="clear"/>
            <w:vAlign w:val="center"/>
          </w:tcPr>
          <w:p>
            <w:pPr>
              <w:pStyle w:val="TableContents"/>
              <w:bidi w:val="0"/>
              <w:spacing w:before="0" w:after="283"/>
              <w:jc w:val="right"/>
              <w:rPr>
                <w:sz w:val="20"/>
              </w:rPr>
            </w:pPr>
            <w:r>
              <w:rPr>
                <w:sz w:val="20"/>
              </w:rPr>
              <w:t>(12,511)</w:t>
            </w:r>
          </w:p>
        </w:tc>
        <w:tc>
          <w:tcPr>
            <w:tcW w:w="1450" w:type="dxa"/>
            <w:tcBorders/>
            <w:shd w:fill="D5EAEA" w:val="clear"/>
            <w:vAlign w:val="center"/>
          </w:tcPr>
          <w:p>
            <w:pPr>
              <w:pStyle w:val="TableContents"/>
              <w:bidi w:val="0"/>
              <w:spacing w:before="0" w:after="283"/>
              <w:jc w:val="right"/>
              <w:rPr>
                <w:sz w:val="20"/>
              </w:rPr>
            </w:pPr>
            <w:r>
              <w:rPr>
                <w:sz w:val="20"/>
              </w:rPr>
              <w:t>(9,479)</w:t>
            </w:r>
          </w:p>
        </w:tc>
      </w:tr>
      <w:tr>
        <w:trPr/>
        <w:tc>
          <w:tcPr>
            <w:tcW w:w="3290" w:type="dxa"/>
            <w:tcBorders/>
            <w:shd w:fill="FFFFFF" w:val="clear"/>
            <w:vAlign w:val="center"/>
          </w:tcPr>
          <w:p>
            <w:pPr>
              <w:pStyle w:val="TableContents"/>
              <w:bidi w:val="0"/>
              <w:spacing w:before="0" w:after="283"/>
              <w:jc w:val="left"/>
              <w:rPr>
                <w:sz w:val="20"/>
              </w:rPr>
            </w:pPr>
            <w:r>
              <w:rPr>
                <w:sz w:val="20"/>
              </w:rPr>
              <w:t>IT and telecom services</w:t>
            </w:r>
          </w:p>
        </w:tc>
        <w:tc>
          <w:tcPr>
            <w:tcW w:w="1510" w:type="dxa"/>
            <w:tcBorders/>
            <w:shd w:fill="FFFFFF" w:val="clear"/>
            <w:vAlign w:val="center"/>
          </w:tcPr>
          <w:p>
            <w:pPr>
              <w:pStyle w:val="TableContents"/>
              <w:bidi w:val="0"/>
              <w:spacing w:before="0" w:after="283"/>
              <w:jc w:val="right"/>
              <w:rPr>
                <w:sz w:val="20"/>
              </w:rPr>
            </w:pPr>
            <w:r>
              <w:rPr>
                <w:sz w:val="20"/>
              </w:rPr>
              <w:t>(1,955)</w:t>
            </w:r>
          </w:p>
        </w:tc>
        <w:tc>
          <w:tcPr>
            <w:tcW w:w="1510" w:type="dxa"/>
            <w:tcBorders/>
            <w:shd w:fill="FFFFFF" w:val="clear"/>
            <w:vAlign w:val="center"/>
          </w:tcPr>
          <w:p>
            <w:pPr>
              <w:pStyle w:val="TableContents"/>
              <w:bidi w:val="0"/>
              <w:spacing w:before="0" w:after="283"/>
              <w:jc w:val="right"/>
              <w:rPr>
                <w:sz w:val="20"/>
              </w:rPr>
            </w:pPr>
            <w:r>
              <w:rPr>
                <w:sz w:val="20"/>
              </w:rPr>
              <w:t>(1,121)</w:t>
            </w:r>
          </w:p>
        </w:tc>
        <w:tc>
          <w:tcPr>
            <w:tcW w:w="1420" w:type="dxa"/>
            <w:tcBorders/>
            <w:shd w:fill="FFFFFF" w:val="clear"/>
            <w:vAlign w:val="center"/>
          </w:tcPr>
          <w:p>
            <w:pPr>
              <w:pStyle w:val="TableContents"/>
              <w:bidi w:val="0"/>
              <w:spacing w:before="0" w:after="283"/>
              <w:jc w:val="right"/>
              <w:rPr>
                <w:sz w:val="20"/>
              </w:rPr>
            </w:pPr>
            <w:r>
              <w:rPr>
                <w:sz w:val="20"/>
              </w:rPr>
              <w:t>(3,672)</w:t>
            </w:r>
          </w:p>
        </w:tc>
        <w:tc>
          <w:tcPr>
            <w:tcW w:w="1450" w:type="dxa"/>
            <w:tcBorders/>
            <w:shd w:fill="FFFFFF" w:val="clear"/>
            <w:vAlign w:val="center"/>
          </w:tcPr>
          <w:p>
            <w:pPr>
              <w:pStyle w:val="TableContents"/>
              <w:bidi w:val="0"/>
              <w:spacing w:before="0" w:after="283"/>
              <w:jc w:val="right"/>
              <w:rPr>
                <w:sz w:val="20"/>
              </w:rPr>
            </w:pPr>
            <w:r>
              <w:rPr>
                <w:sz w:val="20"/>
              </w:rPr>
              <w:t>(2,826)</w:t>
            </w:r>
          </w:p>
        </w:tc>
      </w:tr>
      <w:tr>
        <w:trPr/>
        <w:tc>
          <w:tcPr>
            <w:tcW w:w="3290" w:type="dxa"/>
            <w:tcBorders/>
            <w:shd w:fill="D5EAEA" w:val="clear"/>
            <w:vAlign w:val="center"/>
          </w:tcPr>
          <w:p>
            <w:pPr>
              <w:pStyle w:val="TableContents"/>
              <w:bidi w:val="0"/>
              <w:spacing w:before="0" w:after="283"/>
              <w:jc w:val="left"/>
              <w:rPr>
                <w:sz w:val="20"/>
              </w:rPr>
            </w:pPr>
            <w:r>
              <w:rPr>
                <w:sz w:val="20"/>
              </w:rPr>
              <w:t>Depreciation of right-of-use assets</w:t>
            </w:r>
          </w:p>
        </w:tc>
        <w:tc>
          <w:tcPr>
            <w:tcW w:w="1510" w:type="dxa"/>
            <w:tcBorders/>
            <w:shd w:fill="D5EAEA" w:val="clear"/>
            <w:vAlign w:val="center"/>
          </w:tcPr>
          <w:p>
            <w:pPr>
              <w:pStyle w:val="TableContents"/>
              <w:bidi w:val="0"/>
              <w:spacing w:before="0" w:after="283"/>
              <w:jc w:val="right"/>
              <w:rPr>
                <w:sz w:val="20"/>
              </w:rPr>
            </w:pPr>
            <w:r>
              <w:rPr>
                <w:sz w:val="20"/>
              </w:rPr>
              <w:t>(1,283)</w:t>
            </w:r>
          </w:p>
        </w:tc>
        <w:tc>
          <w:tcPr>
            <w:tcW w:w="1510" w:type="dxa"/>
            <w:tcBorders/>
            <w:shd w:fill="D5EAEA" w:val="clear"/>
            <w:vAlign w:val="center"/>
          </w:tcPr>
          <w:p>
            <w:pPr>
              <w:pStyle w:val="TableContents"/>
              <w:bidi w:val="0"/>
              <w:spacing w:before="0" w:after="283"/>
              <w:jc w:val="right"/>
              <w:rPr>
                <w:sz w:val="20"/>
              </w:rPr>
            </w:pPr>
            <w:r>
              <w:rPr>
                <w:sz w:val="20"/>
              </w:rPr>
              <w:t>(1,080)</w:t>
            </w:r>
          </w:p>
        </w:tc>
        <w:tc>
          <w:tcPr>
            <w:tcW w:w="1420" w:type="dxa"/>
            <w:tcBorders/>
            <w:shd w:fill="D5EAEA" w:val="clear"/>
            <w:vAlign w:val="center"/>
          </w:tcPr>
          <w:p>
            <w:pPr>
              <w:pStyle w:val="TableContents"/>
              <w:bidi w:val="0"/>
              <w:spacing w:before="0" w:after="283"/>
              <w:jc w:val="right"/>
              <w:rPr>
                <w:sz w:val="20"/>
              </w:rPr>
            </w:pPr>
            <w:r>
              <w:rPr>
                <w:sz w:val="20"/>
              </w:rPr>
              <w:t>(2,524)</w:t>
            </w:r>
          </w:p>
        </w:tc>
        <w:tc>
          <w:tcPr>
            <w:tcW w:w="1450" w:type="dxa"/>
            <w:tcBorders/>
            <w:shd w:fill="D5EAEA" w:val="clear"/>
            <w:vAlign w:val="center"/>
          </w:tcPr>
          <w:p>
            <w:pPr>
              <w:pStyle w:val="TableContents"/>
              <w:bidi w:val="0"/>
              <w:spacing w:before="0" w:after="283"/>
              <w:jc w:val="right"/>
              <w:rPr>
                <w:sz w:val="20"/>
              </w:rPr>
            </w:pPr>
            <w:r>
              <w:rPr>
                <w:sz w:val="20"/>
              </w:rPr>
              <w:t>(1,901)</w:t>
            </w:r>
          </w:p>
        </w:tc>
      </w:tr>
      <w:tr>
        <w:trPr/>
        <w:tc>
          <w:tcPr>
            <w:tcW w:w="3290" w:type="dxa"/>
            <w:tcBorders/>
            <w:shd w:fill="FFFFFF" w:val="clear"/>
            <w:vAlign w:val="center"/>
          </w:tcPr>
          <w:p>
            <w:pPr>
              <w:pStyle w:val="TableContents"/>
              <w:bidi w:val="0"/>
              <w:spacing w:before="0" w:after="283"/>
              <w:jc w:val="left"/>
              <w:rPr>
                <w:sz w:val="20"/>
              </w:rPr>
            </w:pPr>
            <w:r>
              <w:rPr>
                <w:sz w:val="20"/>
              </w:rPr>
              <w:t xml:space="preserve">Travel expenses </w:t>
            </w:r>
          </w:p>
        </w:tc>
        <w:tc>
          <w:tcPr>
            <w:tcW w:w="1510" w:type="dxa"/>
            <w:tcBorders/>
            <w:shd w:fill="FFFFFF" w:val="clear"/>
            <w:vAlign w:val="center"/>
          </w:tcPr>
          <w:p>
            <w:pPr>
              <w:pStyle w:val="TableContents"/>
              <w:bidi w:val="0"/>
              <w:spacing w:before="0" w:after="283"/>
              <w:jc w:val="right"/>
              <w:rPr>
                <w:sz w:val="20"/>
              </w:rPr>
            </w:pPr>
            <w:r>
              <w:rPr>
                <w:sz w:val="20"/>
              </w:rPr>
              <w:t>(1,962)</w:t>
            </w:r>
          </w:p>
        </w:tc>
        <w:tc>
          <w:tcPr>
            <w:tcW w:w="1510" w:type="dxa"/>
            <w:tcBorders/>
            <w:shd w:fill="FFFFFF" w:val="clear"/>
            <w:vAlign w:val="center"/>
          </w:tcPr>
          <w:p>
            <w:pPr>
              <w:pStyle w:val="TableContents"/>
              <w:bidi w:val="0"/>
              <w:spacing w:before="0" w:after="283"/>
              <w:jc w:val="right"/>
              <w:rPr>
                <w:sz w:val="20"/>
              </w:rPr>
            </w:pPr>
            <w:r>
              <w:rPr>
                <w:sz w:val="20"/>
              </w:rPr>
              <w:t>(1,529)</w:t>
            </w:r>
          </w:p>
        </w:tc>
        <w:tc>
          <w:tcPr>
            <w:tcW w:w="1420" w:type="dxa"/>
            <w:tcBorders/>
            <w:shd w:fill="FFFFFF" w:val="clear"/>
            <w:vAlign w:val="center"/>
          </w:tcPr>
          <w:p>
            <w:pPr>
              <w:pStyle w:val="TableContents"/>
              <w:bidi w:val="0"/>
              <w:spacing w:before="0" w:after="283"/>
              <w:jc w:val="right"/>
              <w:rPr>
                <w:sz w:val="20"/>
              </w:rPr>
            </w:pPr>
            <w:r>
              <w:rPr>
                <w:sz w:val="20"/>
              </w:rPr>
              <w:t>(3,269)</w:t>
            </w:r>
          </w:p>
        </w:tc>
        <w:tc>
          <w:tcPr>
            <w:tcW w:w="1450" w:type="dxa"/>
            <w:tcBorders/>
            <w:shd w:fill="FFFFFF" w:val="clear"/>
            <w:vAlign w:val="center"/>
          </w:tcPr>
          <w:p>
            <w:pPr>
              <w:pStyle w:val="TableContents"/>
              <w:bidi w:val="0"/>
              <w:spacing w:before="0" w:after="283"/>
              <w:jc w:val="right"/>
              <w:rPr>
                <w:sz w:val="20"/>
              </w:rPr>
            </w:pPr>
            <w:r>
              <w:rPr>
                <w:sz w:val="20"/>
              </w:rPr>
              <w:t>(2,665)</w:t>
            </w:r>
          </w:p>
        </w:tc>
      </w:tr>
      <w:tr>
        <w:trPr/>
        <w:tc>
          <w:tcPr>
            <w:tcW w:w="3290" w:type="dxa"/>
            <w:tcBorders/>
            <w:shd w:fill="D5EAEA" w:val="clear"/>
            <w:vAlign w:val="center"/>
          </w:tcPr>
          <w:p>
            <w:pPr>
              <w:pStyle w:val="TableContents"/>
              <w:bidi w:val="0"/>
              <w:spacing w:before="0" w:after="283"/>
              <w:jc w:val="left"/>
              <w:rPr>
                <w:sz w:val="20"/>
              </w:rPr>
            </w:pPr>
            <w:r>
              <w:rPr>
                <w:sz w:val="20"/>
              </w:rPr>
              <w:t>Marketing and events</w:t>
            </w:r>
          </w:p>
        </w:tc>
        <w:tc>
          <w:tcPr>
            <w:tcW w:w="1510" w:type="dxa"/>
            <w:tcBorders/>
            <w:shd w:fill="D5EAEA" w:val="clear"/>
            <w:vAlign w:val="center"/>
          </w:tcPr>
          <w:p>
            <w:pPr>
              <w:pStyle w:val="TableContents"/>
              <w:bidi w:val="0"/>
              <w:spacing w:before="0" w:after="283"/>
              <w:jc w:val="right"/>
              <w:rPr>
                <w:sz w:val="20"/>
              </w:rPr>
            </w:pPr>
            <w:r>
              <w:rPr>
                <w:sz w:val="20"/>
              </w:rPr>
              <w:t>(1,490)</w:t>
            </w:r>
          </w:p>
        </w:tc>
        <w:tc>
          <w:tcPr>
            <w:tcW w:w="1510" w:type="dxa"/>
            <w:tcBorders/>
            <w:shd w:fill="D5EAEA" w:val="clear"/>
            <w:vAlign w:val="center"/>
          </w:tcPr>
          <w:p>
            <w:pPr>
              <w:pStyle w:val="TableContents"/>
              <w:bidi w:val="0"/>
              <w:spacing w:before="0" w:after="283"/>
              <w:jc w:val="right"/>
              <w:rPr>
                <w:sz w:val="20"/>
              </w:rPr>
            </w:pPr>
            <w:r>
              <w:rPr>
                <w:sz w:val="20"/>
              </w:rPr>
              <w:t>(1,070)</w:t>
            </w:r>
          </w:p>
        </w:tc>
        <w:tc>
          <w:tcPr>
            <w:tcW w:w="1420" w:type="dxa"/>
            <w:tcBorders/>
            <w:shd w:fill="D5EAEA" w:val="clear"/>
            <w:vAlign w:val="center"/>
          </w:tcPr>
          <w:p>
            <w:pPr>
              <w:pStyle w:val="TableContents"/>
              <w:bidi w:val="0"/>
              <w:spacing w:before="0" w:after="283"/>
              <w:jc w:val="right"/>
              <w:rPr>
                <w:sz w:val="20"/>
              </w:rPr>
            </w:pPr>
            <w:r>
              <w:rPr>
                <w:sz w:val="20"/>
              </w:rPr>
              <w:t>(2,601)</w:t>
            </w:r>
          </w:p>
        </w:tc>
        <w:tc>
          <w:tcPr>
            <w:tcW w:w="1450" w:type="dxa"/>
            <w:tcBorders/>
            <w:shd w:fill="D5EAEA" w:val="clear"/>
            <w:vAlign w:val="center"/>
          </w:tcPr>
          <w:p>
            <w:pPr>
              <w:pStyle w:val="TableContents"/>
              <w:bidi w:val="0"/>
              <w:spacing w:before="0" w:after="283"/>
              <w:jc w:val="right"/>
              <w:rPr>
                <w:sz w:val="20"/>
              </w:rPr>
            </w:pPr>
            <w:r>
              <w:rPr>
                <w:sz w:val="20"/>
              </w:rPr>
              <w:t>(2,038)</w:t>
            </w:r>
          </w:p>
        </w:tc>
      </w:tr>
      <w:tr>
        <w:trPr/>
        <w:tc>
          <w:tcPr>
            <w:tcW w:w="3290" w:type="dxa"/>
            <w:tcBorders/>
            <w:shd w:fill="FFFFFF" w:val="clear"/>
            <w:vAlign w:val="center"/>
          </w:tcPr>
          <w:p>
            <w:pPr>
              <w:pStyle w:val="TableContents"/>
              <w:bidi w:val="0"/>
              <w:spacing w:before="0" w:after="283"/>
              <w:jc w:val="left"/>
              <w:rPr>
                <w:sz w:val="20"/>
              </w:rPr>
            </w:pPr>
            <w:r>
              <w:rPr>
                <w:sz w:val="20"/>
              </w:rPr>
              <w:t xml:space="preserve">Occupancy expenses </w:t>
            </w:r>
          </w:p>
        </w:tc>
        <w:tc>
          <w:tcPr>
            <w:tcW w:w="1510" w:type="dxa"/>
            <w:tcBorders/>
            <w:shd w:fill="FFFFFF" w:val="clear"/>
            <w:vAlign w:val="center"/>
          </w:tcPr>
          <w:p>
            <w:pPr>
              <w:pStyle w:val="TableContents"/>
              <w:bidi w:val="0"/>
              <w:spacing w:before="0" w:after="283"/>
              <w:jc w:val="right"/>
              <w:rPr>
                <w:sz w:val="20"/>
              </w:rPr>
            </w:pPr>
            <w:r>
              <w:rPr>
                <w:sz w:val="20"/>
              </w:rPr>
              <w:t>(1,095)</w:t>
            </w:r>
          </w:p>
        </w:tc>
        <w:tc>
          <w:tcPr>
            <w:tcW w:w="1510" w:type="dxa"/>
            <w:tcBorders/>
            <w:shd w:fill="FFFFFF" w:val="clear"/>
            <w:vAlign w:val="center"/>
          </w:tcPr>
          <w:p>
            <w:pPr>
              <w:pStyle w:val="TableContents"/>
              <w:bidi w:val="0"/>
              <w:spacing w:before="0" w:after="283"/>
              <w:jc w:val="right"/>
              <w:rPr>
                <w:sz w:val="20"/>
              </w:rPr>
            </w:pPr>
            <w:r>
              <w:rPr>
                <w:sz w:val="20"/>
              </w:rPr>
              <w:t>(544)</w:t>
            </w:r>
          </w:p>
        </w:tc>
        <w:tc>
          <w:tcPr>
            <w:tcW w:w="1420" w:type="dxa"/>
            <w:tcBorders/>
            <w:shd w:fill="FFFFFF" w:val="clear"/>
            <w:vAlign w:val="center"/>
          </w:tcPr>
          <w:p>
            <w:pPr>
              <w:pStyle w:val="TableContents"/>
              <w:bidi w:val="0"/>
              <w:spacing w:before="0" w:after="283"/>
              <w:jc w:val="right"/>
              <w:rPr>
                <w:sz w:val="20"/>
              </w:rPr>
            </w:pPr>
            <w:r>
              <w:rPr>
                <w:sz w:val="20"/>
              </w:rPr>
              <w:t>(1,807)</w:t>
            </w:r>
          </w:p>
        </w:tc>
        <w:tc>
          <w:tcPr>
            <w:tcW w:w="1450" w:type="dxa"/>
            <w:tcBorders/>
            <w:shd w:fill="FFFFFF" w:val="clear"/>
            <w:vAlign w:val="center"/>
          </w:tcPr>
          <w:p>
            <w:pPr>
              <w:pStyle w:val="TableContents"/>
              <w:bidi w:val="0"/>
              <w:spacing w:before="0" w:after="283"/>
              <w:jc w:val="right"/>
              <w:rPr>
                <w:sz w:val="20"/>
              </w:rPr>
            </w:pPr>
            <w:r>
              <w:rPr>
                <w:sz w:val="20"/>
              </w:rPr>
              <w:t>(1,241)</w:t>
            </w:r>
          </w:p>
        </w:tc>
      </w:tr>
      <w:tr>
        <w:trPr/>
        <w:tc>
          <w:tcPr>
            <w:tcW w:w="3290" w:type="dxa"/>
            <w:tcBorders/>
            <w:shd w:fill="D5EAEA" w:val="clear"/>
            <w:vAlign w:val="center"/>
          </w:tcPr>
          <w:p>
            <w:pPr>
              <w:pStyle w:val="TableContents"/>
              <w:bidi w:val="0"/>
              <w:spacing w:before="0" w:after="283"/>
              <w:jc w:val="left"/>
              <w:rPr>
                <w:sz w:val="20"/>
              </w:rPr>
            </w:pPr>
            <w:r>
              <w:rPr>
                <w:sz w:val="20"/>
              </w:rPr>
              <w:t>Depreciation of property and equipment</w:t>
            </w:r>
          </w:p>
        </w:tc>
        <w:tc>
          <w:tcPr>
            <w:tcW w:w="1510" w:type="dxa"/>
            <w:tcBorders/>
            <w:shd w:fill="D5EAEA" w:val="clear"/>
            <w:vAlign w:val="center"/>
          </w:tcPr>
          <w:p>
            <w:pPr>
              <w:pStyle w:val="TableContents"/>
              <w:bidi w:val="0"/>
              <w:spacing w:before="0" w:after="283"/>
              <w:jc w:val="right"/>
              <w:rPr>
                <w:sz w:val="20"/>
              </w:rPr>
            </w:pPr>
            <w:r>
              <w:rPr>
                <w:sz w:val="20"/>
              </w:rPr>
              <w:t>(644)</w:t>
            </w:r>
          </w:p>
        </w:tc>
        <w:tc>
          <w:tcPr>
            <w:tcW w:w="1510" w:type="dxa"/>
            <w:tcBorders/>
            <w:shd w:fill="D5EAEA" w:val="clear"/>
            <w:vAlign w:val="center"/>
          </w:tcPr>
          <w:p>
            <w:pPr>
              <w:pStyle w:val="TableContents"/>
              <w:bidi w:val="0"/>
              <w:spacing w:before="0" w:after="283"/>
              <w:jc w:val="right"/>
              <w:rPr>
                <w:sz w:val="20"/>
              </w:rPr>
            </w:pPr>
            <w:r>
              <w:rPr>
                <w:sz w:val="20"/>
              </w:rPr>
              <w:t>(507)</w:t>
            </w:r>
          </w:p>
        </w:tc>
        <w:tc>
          <w:tcPr>
            <w:tcW w:w="1420" w:type="dxa"/>
            <w:tcBorders/>
            <w:shd w:fill="D5EAEA" w:val="clear"/>
            <w:vAlign w:val="center"/>
          </w:tcPr>
          <w:p>
            <w:pPr>
              <w:pStyle w:val="TableContents"/>
              <w:bidi w:val="0"/>
              <w:spacing w:before="0" w:after="283"/>
              <w:jc w:val="right"/>
              <w:rPr>
                <w:sz w:val="20"/>
              </w:rPr>
            </w:pPr>
            <w:r>
              <w:rPr>
                <w:sz w:val="20"/>
              </w:rPr>
              <w:t>(1,276)</w:t>
            </w:r>
          </w:p>
        </w:tc>
        <w:tc>
          <w:tcPr>
            <w:tcW w:w="1450" w:type="dxa"/>
            <w:tcBorders/>
            <w:shd w:fill="D5EAEA" w:val="clear"/>
            <w:vAlign w:val="center"/>
          </w:tcPr>
          <w:p>
            <w:pPr>
              <w:pStyle w:val="TableContents"/>
              <w:bidi w:val="0"/>
              <w:spacing w:before="0" w:after="283"/>
              <w:jc w:val="right"/>
              <w:rPr>
                <w:sz w:val="20"/>
              </w:rPr>
            </w:pPr>
            <w:r>
              <w:rPr>
                <w:sz w:val="20"/>
              </w:rPr>
              <w:t>(982)</w:t>
            </w:r>
          </w:p>
        </w:tc>
      </w:tr>
      <w:tr>
        <w:trPr/>
        <w:tc>
          <w:tcPr>
            <w:tcW w:w="3290" w:type="dxa"/>
            <w:tcBorders/>
            <w:shd w:fill="FFFFFF" w:val="clear"/>
            <w:vAlign w:val="center"/>
          </w:tcPr>
          <w:p>
            <w:pPr>
              <w:pStyle w:val="TableContents"/>
              <w:bidi w:val="0"/>
              <w:spacing w:before="0" w:after="283"/>
              <w:jc w:val="left"/>
              <w:rPr>
                <w:sz w:val="20"/>
              </w:rPr>
            </w:pPr>
            <w:r>
              <w:rPr>
                <w:sz w:val="20"/>
              </w:rPr>
              <w:t>Professional services - SPAC</w:t>
            </w:r>
          </w:p>
        </w:tc>
        <w:tc>
          <w:tcPr>
            <w:tcW w:w="1510" w:type="dxa"/>
            <w:tcBorders/>
            <w:shd w:fill="FFFFFF" w:val="clear"/>
            <w:vAlign w:val="center"/>
          </w:tcPr>
          <w:p>
            <w:pPr>
              <w:pStyle w:val="TableContents"/>
              <w:bidi w:val="0"/>
              <w:spacing w:before="0" w:after="283"/>
              <w:jc w:val="right"/>
              <w:rPr>
                <w:sz w:val="20"/>
              </w:rPr>
            </w:pPr>
            <w:r>
              <w:rPr>
                <w:sz w:val="20"/>
              </w:rPr>
              <w:t>-</w:t>
            </w:r>
          </w:p>
        </w:tc>
        <w:tc>
          <w:tcPr>
            <w:tcW w:w="1510" w:type="dxa"/>
            <w:tcBorders/>
            <w:shd w:fill="FFFFFF" w:val="clear"/>
            <w:vAlign w:val="center"/>
          </w:tcPr>
          <w:p>
            <w:pPr>
              <w:pStyle w:val="TableContents"/>
              <w:bidi w:val="0"/>
              <w:spacing w:before="0" w:after="283"/>
              <w:jc w:val="right"/>
              <w:rPr>
                <w:sz w:val="20"/>
              </w:rPr>
            </w:pPr>
            <w:r>
              <w:rPr>
                <w:sz w:val="20"/>
              </w:rPr>
              <w:t>(82)</w:t>
            </w:r>
          </w:p>
        </w:tc>
        <w:tc>
          <w:tcPr>
            <w:tcW w:w="1420" w:type="dxa"/>
            <w:tcBorders/>
            <w:shd w:fill="FFFFFF" w:val="clear"/>
            <w:vAlign w:val="center"/>
          </w:tcPr>
          <w:p>
            <w:pPr>
              <w:pStyle w:val="TableContents"/>
              <w:bidi w:val="0"/>
              <w:spacing w:before="0" w:after="283"/>
              <w:jc w:val="right"/>
              <w:rPr>
                <w:sz w:val="20"/>
              </w:rPr>
            </w:pPr>
            <w:r>
              <w:rPr>
                <w:sz w:val="20"/>
              </w:rPr>
              <w:t>-</w:t>
            </w:r>
          </w:p>
        </w:tc>
        <w:tc>
          <w:tcPr>
            <w:tcW w:w="1450" w:type="dxa"/>
            <w:tcBorders/>
            <w:shd w:fill="FFFFFF" w:val="clear"/>
            <w:vAlign w:val="center"/>
          </w:tcPr>
          <w:p>
            <w:pPr>
              <w:pStyle w:val="TableContents"/>
              <w:bidi w:val="0"/>
              <w:spacing w:before="0" w:after="283"/>
              <w:jc w:val="right"/>
              <w:rPr>
                <w:sz w:val="20"/>
              </w:rPr>
            </w:pPr>
            <w:r>
              <w:rPr>
                <w:sz w:val="20"/>
              </w:rPr>
              <w:t>(340)</w:t>
            </w:r>
          </w:p>
        </w:tc>
      </w:tr>
      <w:tr>
        <w:trPr/>
        <w:tc>
          <w:tcPr>
            <w:tcW w:w="3290" w:type="dxa"/>
            <w:tcBorders/>
            <w:shd w:fill="D5EAEA" w:val="clear"/>
            <w:vAlign w:val="center"/>
          </w:tcPr>
          <w:p>
            <w:pPr>
              <w:pStyle w:val="TableContents"/>
              <w:bidi w:val="0"/>
              <w:spacing w:before="0" w:after="283"/>
              <w:jc w:val="left"/>
              <w:rPr>
                <w:sz w:val="20"/>
              </w:rPr>
            </w:pPr>
            <w:r>
              <w:rPr>
                <w:sz w:val="20"/>
              </w:rPr>
              <w:t>Insurance</w:t>
            </w:r>
          </w:p>
        </w:tc>
        <w:tc>
          <w:tcPr>
            <w:tcW w:w="1510" w:type="dxa"/>
            <w:tcBorders/>
            <w:shd w:fill="D5EAEA" w:val="clear"/>
            <w:vAlign w:val="center"/>
          </w:tcPr>
          <w:p>
            <w:pPr>
              <w:pStyle w:val="TableContents"/>
              <w:bidi w:val="0"/>
              <w:spacing w:before="0" w:after="283"/>
              <w:jc w:val="right"/>
              <w:rPr>
                <w:sz w:val="20"/>
              </w:rPr>
            </w:pPr>
            <w:r>
              <w:rPr>
                <w:sz w:val="20"/>
              </w:rPr>
              <w:t>(312)</w:t>
            </w:r>
          </w:p>
        </w:tc>
        <w:tc>
          <w:tcPr>
            <w:tcW w:w="1510" w:type="dxa"/>
            <w:tcBorders/>
            <w:shd w:fill="D5EAEA" w:val="clear"/>
            <w:vAlign w:val="center"/>
          </w:tcPr>
          <w:p>
            <w:pPr>
              <w:pStyle w:val="TableContents"/>
              <w:bidi w:val="0"/>
              <w:spacing w:before="0" w:after="283"/>
              <w:jc w:val="right"/>
              <w:rPr>
                <w:sz w:val="20"/>
              </w:rPr>
            </w:pPr>
            <w:r>
              <w:rPr>
                <w:sz w:val="20"/>
              </w:rPr>
              <w:t>(173)</w:t>
            </w:r>
          </w:p>
        </w:tc>
        <w:tc>
          <w:tcPr>
            <w:tcW w:w="1420" w:type="dxa"/>
            <w:tcBorders/>
            <w:shd w:fill="D5EAEA" w:val="clear"/>
            <w:vAlign w:val="center"/>
          </w:tcPr>
          <w:p>
            <w:pPr>
              <w:pStyle w:val="TableContents"/>
              <w:bidi w:val="0"/>
              <w:spacing w:before="0" w:after="283"/>
              <w:jc w:val="right"/>
              <w:rPr>
                <w:sz w:val="20"/>
              </w:rPr>
            </w:pPr>
            <w:r>
              <w:rPr>
                <w:sz w:val="20"/>
              </w:rPr>
              <w:t>(456)</w:t>
            </w:r>
          </w:p>
        </w:tc>
        <w:tc>
          <w:tcPr>
            <w:tcW w:w="1450" w:type="dxa"/>
            <w:tcBorders/>
            <w:shd w:fill="D5EAEA" w:val="clear"/>
            <w:vAlign w:val="center"/>
          </w:tcPr>
          <w:p>
            <w:pPr>
              <w:pStyle w:val="TableContents"/>
              <w:bidi w:val="0"/>
              <w:spacing w:before="0" w:after="283"/>
              <w:jc w:val="right"/>
              <w:rPr>
                <w:sz w:val="20"/>
              </w:rPr>
            </w:pPr>
            <w:r>
              <w:rPr>
                <w:sz w:val="20"/>
              </w:rPr>
              <w:t>(359)</w:t>
            </w:r>
          </w:p>
        </w:tc>
      </w:tr>
      <w:tr>
        <w:trPr/>
        <w:tc>
          <w:tcPr>
            <w:tcW w:w="3290" w:type="dxa"/>
            <w:tcBorders/>
            <w:shd w:fill="FFFFFF" w:val="clear"/>
            <w:vAlign w:val="center"/>
          </w:tcPr>
          <w:p>
            <w:pPr>
              <w:pStyle w:val="TableContents"/>
              <w:bidi w:val="0"/>
              <w:spacing w:before="0" w:after="283"/>
              <w:jc w:val="left"/>
              <w:rPr>
                <w:sz w:val="20"/>
              </w:rPr>
            </w:pPr>
            <w:r>
              <w:rPr>
                <w:sz w:val="20"/>
              </w:rPr>
              <w:t>Taxes and contributions</w:t>
            </w:r>
          </w:p>
        </w:tc>
        <w:tc>
          <w:tcPr>
            <w:tcW w:w="1510" w:type="dxa"/>
            <w:tcBorders/>
            <w:shd w:fill="FFFFFF" w:val="clear"/>
            <w:vAlign w:val="center"/>
          </w:tcPr>
          <w:p>
            <w:pPr>
              <w:pStyle w:val="TableContents"/>
              <w:bidi w:val="0"/>
              <w:spacing w:before="0" w:after="283"/>
              <w:jc w:val="right"/>
              <w:rPr>
                <w:sz w:val="20"/>
              </w:rPr>
            </w:pPr>
            <w:r>
              <w:rPr>
                <w:sz w:val="20"/>
              </w:rPr>
              <w:t>(306)</w:t>
            </w:r>
          </w:p>
        </w:tc>
        <w:tc>
          <w:tcPr>
            <w:tcW w:w="1510" w:type="dxa"/>
            <w:tcBorders/>
            <w:shd w:fill="FFFFFF" w:val="clear"/>
            <w:vAlign w:val="center"/>
          </w:tcPr>
          <w:p>
            <w:pPr>
              <w:pStyle w:val="TableContents"/>
              <w:bidi w:val="0"/>
              <w:spacing w:before="0" w:after="283"/>
              <w:jc w:val="right"/>
              <w:rPr>
                <w:sz w:val="20"/>
              </w:rPr>
            </w:pPr>
            <w:r>
              <w:rPr>
                <w:sz w:val="20"/>
              </w:rPr>
              <w:t>(174)</w:t>
            </w:r>
          </w:p>
        </w:tc>
        <w:tc>
          <w:tcPr>
            <w:tcW w:w="1420" w:type="dxa"/>
            <w:tcBorders/>
            <w:shd w:fill="FFFFFF" w:val="clear"/>
            <w:vAlign w:val="center"/>
          </w:tcPr>
          <w:p>
            <w:pPr>
              <w:pStyle w:val="TableContents"/>
              <w:bidi w:val="0"/>
              <w:spacing w:before="0" w:after="283"/>
              <w:jc w:val="right"/>
              <w:rPr>
                <w:sz w:val="20"/>
              </w:rPr>
            </w:pPr>
            <w:r>
              <w:rPr>
                <w:sz w:val="20"/>
              </w:rPr>
              <w:t>(554)</w:t>
            </w:r>
          </w:p>
        </w:tc>
        <w:tc>
          <w:tcPr>
            <w:tcW w:w="1450" w:type="dxa"/>
            <w:tcBorders/>
            <w:shd w:fill="FFFFFF" w:val="clear"/>
            <w:vAlign w:val="center"/>
          </w:tcPr>
          <w:p>
            <w:pPr>
              <w:pStyle w:val="TableContents"/>
              <w:bidi w:val="0"/>
              <w:spacing w:before="0" w:after="283"/>
              <w:jc w:val="right"/>
              <w:rPr>
                <w:sz w:val="20"/>
              </w:rPr>
            </w:pPr>
            <w:r>
              <w:rPr>
                <w:sz w:val="20"/>
              </w:rPr>
              <w:t>(405)</w:t>
            </w:r>
          </w:p>
        </w:tc>
      </w:tr>
      <w:tr>
        <w:trPr/>
        <w:tc>
          <w:tcPr>
            <w:tcW w:w="3290" w:type="dxa"/>
            <w:tcBorders/>
            <w:shd w:fill="D5EAEA" w:val="clear"/>
            <w:vAlign w:val="center"/>
          </w:tcPr>
          <w:p>
            <w:pPr>
              <w:pStyle w:val="TableContents"/>
              <w:bidi w:val="0"/>
              <w:spacing w:before="0" w:after="283"/>
              <w:jc w:val="left"/>
              <w:rPr>
                <w:sz w:val="20"/>
              </w:rPr>
            </w:pPr>
            <w:r>
              <w:rPr>
                <w:sz w:val="20"/>
              </w:rPr>
              <w:t>Materials and supplies</w:t>
            </w:r>
          </w:p>
        </w:tc>
        <w:tc>
          <w:tcPr>
            <w:tcW w:w="1510" w:type="dxa"/>
            <w:tcBorders/>
            <w:shd w:fill="D5EAEA" w:val="clear"/>
            <w:vAlign w:val="center"/>
          </w:tcPr>
          <w:p>
            <w:pPr>
              <w:pStyle w:val="TableContents"/>
              <w:bidi w:val="0"/>
              <w:spacing w:before="0" w:after="283"/>
              <w:jc w:val="right"/>
              <w:rPr>
                <w:sz w:val="20"/>
              </w:rPr>
            </w:pPr>
            <w:r>
              <w:rPr>
                <w:sz w:val="20"/>
              </w:rPr>
              <w:t>(1,067)</w:t>
            </w:r>
          </w:p>
        </w:tc>
        <w:tc>
          <w:tcPr>
            <w:tcW w:w="1510" w:type="dxa"/>
            <w:tcBorders/>
            <w:shd w:fill="D5EAEA" w:val="clear"/>
            <w:vAlign w:val="center"/>
          </w:tcPr>
          <w:p>
            <w:pPr>
              <w:pStyle w:val="TableContents"/>
              <w:bidi w:val="0"/>
              <w:spacing w:before="0" w:after="283"/>
              <w:jc w:val="right"/>
              <w:rPr>
                <w:sz w:val="20"/>
              </w:rPr>
            </w:pPr>
            <w:r>
              <w:rPr>
                <w:sz w:val="20"/>
              </w:rPr>
              <w:t>(140)</w:t>
            </w:r>
          </w:p>
        </w:tc>
        <w:tc>
          <w:tcPr>
            <w:tcW w:w="1420" w:type="dxa"/>
            <w:tcBorders/>
            <w:shd w:fill="D5EAEA" w:val="clear"/>
            <w:vAlign w:val="center"/>
          </w:tcPr>
          <w:p>
            <w:pPr>
              <w:pStyle w:val="TableContents"/>
              <w:bidi w:val="0"/>
              <w:spacing w:before="0" w:after="283"/>
              <w:jc w:val="right"/>
              <w:rPr>
                <w:sz w:val="20"/>
              </w:rPr>
            </w:pPr>
            <w:r>
              <w:rPr>
                <w:sz w:val="20"/>
              </w:rPr>
              <w:t>(1,832)</w:t>
            </w:r>
          </w:p>
        </w:tc>
        <w:tc>
          <w:tcPr>
            <w:tcW w:w="1450" w:type="dxa"/>
            <w:tcBorders/>
            <w:shd w:fill="D5EAEA" w:val="clear"/>
            <w:vAlign w:val="center"/>
          </w:tcPr>
          <w:p>
            <w:pPr>
              <w:pStyle w:val="TableContents"/>
              <w:bidi w:val="0"/>
              <w:spacing w:before="0" w:after="283"/>
              <w:jc w:val="right"/>
              <w:rPr>
                <w:sz w:val="20"/>
              </w:rPr>
            </w:pPr>
            <w:r>
              <w:rPr>
                <w:sz w:val="20"/>
              </w:rPr>
              <w:t>(243)</w:t>
            </w:r>
          </w:p>
        </w:tc>
      </w:tr>
      <w:tr>
        <w:trPr/>
        <w:tc>
          <w:tcPr>
            <w:tcW w:w="3290" w:type="dxa"/>
            <w:tcBorders/>
            <w:shd w:fill="FFFFFF" w:val="clear"/>
            <w:vAlign w:val="center"/>
          </w:tcPr>
          <w:p>
            <w:pPr>
              <w:pStyle w:val="TableContents"/>
              <w:bidi w:val="0"/>
              <w:spacing w:before="0" w:after="283"/>
              <w:jc w:val="left"/>
              <w:rPr>
                <w:sz w:val="20"/>
              </w:rPr>
            </w:pPr>
            <w:r>
              <w:rPr>
                <w:sz w:val="20"/>
              </w:rPr>
              <w:t>Other administrative expenses</w:t>
            </w:r>
          </w:p>
        </w:tc>
        <w:tc>
          <w:tcPr>
            <w:tcW w:w="15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(903)</w:t>
            </w:r>
          </w:p>
        </w:tc>
        <w:tc>
          <w:tcPr>
            <w:tcW w:w="15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(777)</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(1,346)</w:t>
            </w:r>
          </w:p>
        </w:tc>
        <w:tc>
          <w:tcPr>
            <w:tcW w:w="14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(1,249)</w:t>
            </w:r>
          </w:p>
        </w:tc>
      </w:tr>
      <w:tr>
        <w:trPr/>
        <w:tc>
          <w:tcPr>
            <w:tcW w:w="3290" w:type="dxa"/>
            <w:tcBorders/>
            <w:shd w:fill="D5EAEA" w:val="clear"/>
            <w:vAlign w:val="center"/>
          </w:tcPr>
          <w:p>
            <w:pPr>
              <w:pStyle w:val="TableContents"/>
              <w:bidi w:val="0"/>
              <w:spacing w:before="0" w:after="283"/>
              <w:jc w:val="left"/>
              <w:rPr>
                <w:b/>
                <w:sz w:val="20"/>
              </w:rPr>
            </w:pPr>
            <w:r>
              <w:rPr>
                <w:b/>
                <w:sz w:val="20"/>
              </w:rPr>
              <w:t xml:space="preserve">General and Administrative expenses </w:t>
            </w:r>
          </w:p>
        </w:tc>
        <w:tc>
          <w:tcPr>
            <w:tcW w:w="1510"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(16,854)</w:t>
            </w:r>
          </w:p>
        </w:tc>
        <w:tc>
          <w:tcPr>
            <w:tcW w:w="1510"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(11,683)</w:t>
            </w:r>
          </w:p>
        </w:tc>
        <w:tc>
          <w:tcPr>
            <w:tcW w:w="1420"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(31,847)</w:t>
            </w:r>
          </w:p>
        </w:tc>
        <w:tc>
          <w:tcPr>
            <w:tcW w:w="1450"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(23,728)</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335"/>
        <w:gridCol w:w="3245"/>
      </w:tblGrid>
      <w:tr>
        <w:trPr/>
        <w:tc>
          <w:tcPr>
            <w:tcW w:w="335" w:type="dxa"/>
            <w:tcBorders/>
            <w:vAlign w:val="center"/>
          </w:tcPr>
          <w:p>
            <w:pPr>
              <w:pStyle w:val="TableContents"/>
              <w:bidi w:val="0"/>
              <w:spacing w:before="0" w:after="283"/>
              <w:jc w:val="left"/>
              <w:rPr/>
            </w:pPr>
            <w:r>
              <w:rPr/>
              <w:t>26.</w:t>
            </w:r>
          </w:p>
        </w:tc>
        <w:tc>
          <w:tcPr>
            <w:tcW w:w="3245" w:type="dxa"/>
            <w:tcBorders/>
            <w:vAlign w:val="center"/>
          </w:tcPr>
          <w:p>
            <w:pPr>
              <w:pStyle w:val="TableContents"/>
              <w:bidi w:val="0"/>
              <w:spacing w:before="0" w:after="283"/>
              <w:jc w:val="left"/>
              <w:rPr/>
            </w:pPr>
            <w:r>
              <w:rPr/>
              <w:t>Other income and Other expenses</w:t>
            </w:r>
          </w:p>
        </w:tc>
      </w:tr>
    </w:tbl>
    <w:p>
      <w:pPr>
        <w:pStyle w:val="TextBody"/>
        <w:bidi w:val="0"/>
        <w:spacing w:before="0" w:after="0"/>
        <w:jc w:val="left"/>
        <w:rPr>
          <w:caps w:val="false"/>
          <w:smallCaps w:val="false"/>
        </w:rPr>
      </w:pPr>
      <w:r>
        <w:rPr>
          <w:caps w:val="false"/>
          <w:smallCaps w:val="false"/>
        </w:rPr>
        <w:t> </w:t>
      </w:r>
    </w:p>
    <w:tbl>
      <w:tblPr>
        <w:tblW w:w="7438" w:type="dxa"/>
        <w:jc w:val="center"/>
        <w:tblInd w:w="0" w:type="dxa"/>
        <w:tblLayout w:type="fixed"/>
        <w:tblCellMar>
          <w:top w:w="0" w:type="dxa"/>
          <w:left w:w="0" w:type="dxa"/>
          <w:bottom w:w="0" w:type="dxa"/>
          <w:right w:w="0" w:type="dxa"/>
        </w:tblCellMar>
      </w:tblPr>
      <w:tblGrid>
        <w:gridCol w:w="4010"/>
        <w:gridCol w:w="902"/>
        <w:gridCol w:w="902"/>
        <w:gridCol w:w="802"/>
        <w:gridCol w:w="822"/>
      </w:tblGrid>
      <w:tr>
        <w:trPr/>
        <w:tc>
          <w:tcPr>
            <w:tcW w:w="401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16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Six-month periods</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ended June 30,</w:t>
            </w:r>
            <w:r>
              <w:rPr>
                <w:rFonts w:ascii="Times New Roman;Times;Serif" w:hAnsi="Times New Roman;Times;Serif"/>
                <w:b w:val="false"/>
                <w:i w:val="false"/>
                <w:caps w:val="false"/>
                <w:smallCaps w:val="false"/>
                <w:sz w:val="20"/>
              </w:rPr>
              <w:t> </w:t>
            </w:r>
          </w:p>
        </w:tc>
      </w:tr>
      <w:tr>
        <w:trPr/>
        <w:tc>
          <w:tcPr>
            <w:tcW w:w="4010" w:type="dxa"/>
            <w:tcBorders/>
            <w:vAlign w:val="center"/>
          </w:tcPr>
          <w:p>
            <w:pPr>
              <w:pStyle w:val="TableContents"/>
              <w:bidi w:val="0"/>
              <w:spacing w:before="0" w:after="283"/>
              <w:jc w:val="left"/>
              <w:rPr>
                <w:b/>
                <w:sz w:val="20"/>
              </w:rPr>
            </w:pPr>
            <w:r>
              <w:rPr>
                <w:b/>
                <w:sz w:val="20"/>
              </w:rPr>
              <w:t>Other income</w:t>
            </w:r>
          </w:p>
        </w:tc>
        <w:tc>
          <w:tcPr>
            <w:tcW w:w="9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9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8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82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4010" w:type="dxa"/>
            <w:tcBorders/>
            <w:shd w:fill="D5EAEA" w:val="clear"/>
            <w:vAlign w:val="center"/>
          </w:tcPr>
          <w:p>
            <w:pPr>
              <w:pStyle w:val="TableContents"/>
              <w:bidi w:val="0"/>
              <w:spacing w:before="0" w:after="283"/>
              <w:jc w:val="left"/>
              <w:rPr>
                <w:sz w:val="20"/>
              </w:rPr>
            </w:pPr>
            <w:r>
              <w:rPr>
                <w:sz w:val="20"/>
              </w:rPr>
              <w:t xml:space="preserve">Energy trading contracts – net realized gains </w:t>
            </w:r>
          </w:p>
        </w:tc>
        <w:tc>
          <w:tcPr>
            <w:tcW w:w="902" w:type="dxa"/>
            <w:tcBorders/>
            <w:shd w:fill="D5EAEA" w:val="clear"/>
            <w:vAlign w:val="center"/>
          </w:tcPr>
          <w:p>
            <w:pPr>
              <w:pStyle w:val="TableContents"/>
              <w:bidi w:val="0"/>
              <w:spacing w:before="0" w:after="283"/>
              <w:jc w:val="right"/>
              <w:rPr>
                <w:sz w:val="20"/>
              </w:rPr>
            </w:pPr>
            <w:r>
              <w:rPr>
                <w:sz w:val="20"/>
              </w:rPr>
              <w:t>1,080</w:t>
            </w:r>
          </w:p>
        </w:tc>
        <w:tc>
          <w:tcPr>
            <w:tcW w:w="902" w:type="dxa"/>
            <w:tcBorders/>
            <w:shd w:fill="D5EAEA" w:val="clear"/>
            <w:vAlign w:val="center"/>
          </w:tcPr>
          <w:p>
            <w:pPr>
              <w:pStyle w:val="TableContents"/>
              <w:bidi w:val="0"/>
              <w:spacing w:before="0" w:after="283"/>
              <w:jc w:val="right"/>
              <w:rPr>
                <w:sz w:val="20"/>
              </w:rPr>
            </w:pPr>
            <w:r>
              <w:rPr>
                <w:sz w:val="20"/>
              </w:rPr>
              <w:t>227</w:t>
            </w:r>
          </w:p>
        </w:tc>
        <w:tc>
          <w:tcPr>
            <w:tcW w:w="802" w:type="dxa"/>
            <w:tcBorders/>
            <w:shd w:fill="D5EAEA" w:val="clear"/>
            <w:vAlign w:val="center"/>
          </w:tcPr>
          <w:p>
            <w:pPr>
              <w:pStyle w:val="TableContents"/>
              <w:bidi w:val="0"/>
              <w:spacing w:before="0" w:after="283"/>
              <w:jc w:val="right"/>
              <w:rPr>
                <w:sz w:val="20"/>
              </w:rPr>
            </w:pPr>
            <w:r>
              <w:rPr>
                <w:sz w:val="20"/>
              </w:rPr>
              <w:t>1,005</w:t>
            </w:r>
          </w:p>
        </w:tc>
        <w:tc>
          <w:tcPr>
            <w:tcW w:w="822" w:type="dxa"/>
            <w:tcBorders/>
            <w:shd w:fill="D5EAEA" w:val="clear"/>
            <w:vAlign w:val="center"/>
          </w:tcPr>
          <w:p>
            <w:pPr>
              <w:pStyle w:val="TableContents"/>
              <w:bidi w:val="0"/>
              <w:spacing w:before="0" w:after="283"/>
              <w:jc w:val="right"/>
              <w:rPr>
                <w:sz w:val="20"/>
              </w:rPr>
            </w:pPr>
            <w:r>
              <w:rPr>
                <w:sz w:val="20"/>
              </w:rPr>
              <w:t>2,100</w:t>
            </w:r>
          </w:p>
        </w:tc>
      </w:tr>
      <w:tr>
        <w:trPr/>
        <w:tc>
          <w:tcPr>
            <w:tcW w:w="4010" w:type="dxa"/>
            <w:tcBorders/>
            <w:shd w:fill="FFFFFF" w:val="clear"/>
            <w:vAlign w:val="center"/>
          </w:tcPr>
          <w:p>
            <w:pPr>
              <w:pStyle w:val="TableContents"/>
              <w:bidi w:val="0"/>
              <w:spacing w:before="0" w:after="283"/>
              <w:jc w:val="left"/>
              <w:rPr>
                <w:sz w:val="20"/>
              </w:rPr>
            </w:pPr>
            <w:r>
              <w:rPr>
                <w:sz w:val="20"/>
              </w:rPr>
              <w:t>Energy trading contracts – fair value adjustments</w:t>
            </w:r>
          </w:p>
        </w:tc>
        <w:tc>
          <w:tcPr>
            <w:tcW w:w="902" w:type="dxa"/>
            <w:tcBorders/>
            <w:shd w:fill="FFFFFF" w:val="clear"/>
            <w:vAlign w:val="center"/>
          </w:tcPr>
          <w:p>
            <w:pPr>
              <w:pStyle w:val="TableContents"/>
              <w:bidi w:val="0"/>
              <w:spacing w:before="0" w:after="283"/>
              <w:jc w:val="right"/>
              <w:rPr>
                <w:sz w:val="20"/>
              </w:rPr>
            </w:pPr>
            <w:r>
              <w:rPr>
                <w:sz w:val="20"/>
              </w:rPr>
              <w:t>7,702</w:t>
            </w:r>
          </w:p>
        </w:tc>
        <w:tc>
          <w:tcPr>
            <w:tcW w:w="902" w:type="dxa"/>
            <w:tcBorders/>
            <w:shd w:fill="FFFFFF" w:val="clear"/>
            <w:vAlign w:val="center"/>
          </w:tcPr>
          <w:p>
            <w:pPr>
              <w:pStyle w:val="TableContents"/>
              <w:bidi w:val="0"/>
              <w:spacing w:before="0" w:after="283"/>
              <w:jc w:val="right"/>
              <w:rPr>
                <w:sz w:val="20"/>
              </w:rPr>
            </w:pPr>
            <w:r>
              <w:rPr>
                <w:sz w:val="20"/>
              </w:rPr>
              <w:t>1,763</w:t>
            </w:r>
          </w:p>
        </w:tc>
        <w:tc>
          <w:tcPr>
            <w:tcW w:w="802" w:type="dxa"/>
            <w:tcBorders/>
            <w:shd w:fill="FFFFFF" w:val="clear"/>
            <w:vAlign w:val="center"/>
          </w:tcPr>
          <w:p>
            <w:pPr>
              <w:pStyle w:val="TableContents"/>
              <w:bidi w:val="0"/>
              <w:spacing w:before="0" w:after="283"/>
              <w:jc w:val="right"/>
              <w:rPr>
                <w:sz w:val="20"/>
              </w:rPr>
            </w:pPr>
            <w:r>
              <w:rPr>
                <w:sz w:val="20"/>
              </w:rPr>
              <w:t>11,849</w:t>
            </w:r>
          </w:p>
        </w:tc>
        <w:tc>
          <w:tcPr>
            <w:tcW w:w="822" w:type="dxa"/>
            <w:tcBorders/>
            <w:shd w:fill="FFFFFF" w:val="clear"/>
            <w:vAlign w:val="center"/>
          </w:tcPr>
          <w:p>
            <w:pPr>
              <w:pStyle w:val="TableContents"/>
              <w:bidi w:val="0"/>
              <w:spacing w:before="0" w:after="283"/>
              <w:jc w:val="right"/>
              <w:rPr>
                <w:sz w:val="20"/>
              </w:rPr>
            </w:pPr>
            <w:r>
              <w:rPr>
                <w:sz w:val="20"/>
              </w:rPr>
              <w:t>3,928</w:t>
            </w:r>
          </w:p>
        </w:tc>
      </w:tr>
      <w:tr>
        <w:trPr/>
        <w:tc>
          <w:tcPr>
            <w:tcW w:w="4010" w:type="dxa"/>
            <w:tcBorders/>
            <w:shd w:fill="D5EAEA" w:val="clear"/>
            <w:vAlign w:val="center"/>
          </w:tcPr>
          <w:p>
            <w:pPr>
              <w:pStyle w:val="TableContents"/>
              <w:bidi w:val="0"/>
              <w:spacing w:before="0" w:after="283"/>
              <w:jc w:val="left"/>
              <w:rPr>
                <w:sz w:val="20"/>
              </w:rPr>
            </w:pPr>
            <w:r>
              <w:rPr>
                <w:sz w:val="20"/>
              </w:rPr>
              <w:t>Gross obligation adjustment</w:t>
            </w:r>
          </w:p>
        </w:tc>
        <w:tc>
          <w:tcPr>
            <w:tcW w:w="90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1,548</w:t>
            </w:r>
          </w:p>
        </w:tc>
        <w:tc>
          <w:tcPr>
            <w:tcW w:w="90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80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1,548</w:t>
            </w:r>
          </w:p>
        </w:tc>
        <w:tc>
          <w:tcPr>
            <w:tcW w:w="82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r>
      <w:tr>
        <w:trPr/>
        <w:tc>
          <w:tcPr>
            <w:tcW w:w="4010" w:type="dxa"/>
            <w:tcBorders/>
            <w:shd w:fill="FFFFFF" w:val="clear"/>
            <w:vAlign w:val="center"/>
          </w:tcPr>
          <w:p>
            <w:pPr>
              <w:pStyle w:val="TableContents"/>
              <w:bidi w:val="0"/>
              <w:spacing w:before="0" w:after="283"/>
              <w:jc w:val="left"/>
              <w:rPr/>
            </w:pPr>
            <w:r>
              <w:rPr/>
              <w:t> </w:t>
            </w:r>
          </w:p>
        </w:tc>
        <w:tc>
          <w:tcPr>
            <w:tcW w:w="902"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10,330</w:t>
            </w:r>
          </w:p>
        </w:tc>
        <w:tc>
          <w:tcPr>
            <w:tcW w:w="902"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1,990</w:t>
            </w:r>
          </w:p>
        </w:tc>
        <w:tc>
          <w:tcPr>
            <w:tcW w:w="802"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14,402</w:t>
            </w:r>
          </w:p>
        </w:tc>
        <w:tc>
          <w:tcPr>
            <w:tcW w:w="822"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6,028</w:t>
            </w:r>
          </w:p>
        </w:tc>
      </w:tr>
      <w:tr>
        <w:trPr/>
        <w:tc>
          <w:tcPr>
            <w:tcW w:w="4010" w:type="dxa"/>
            <w:tcBorders/>
            <w:shd w:fill="D5EAEA" w:val="clear"/>
            <w:vAlign w:val="center"/>
          </w:tcPr>
          <w:p>
            <w:pPr>
              <w:pStyle w:val="TableContents"/>
              <w:bidi w:val="0"/>
              <w:spacing w:before="0" w:after="283"/>
              <w:jc w:val="left"/>
              <w:rPr>
                <w:b/>
                <w:sz w:val="20"/>
              </w:rPr>
            </w:pPr>
            <w:r>
              <w:rPr>
                <w:b/>
                <w:sz w:val="20"/>
              </w:rPr>
              <w:t>Other expenses</w:t>
            </w:r>
          </w:p>
        </w:tc>
        <w:tc>
          <w:tcPr>
            <w:tcW w:w="902" w:type="dxa"/>
            <w:tcBorders/>
            <w:shd w:fill="D5EAEA" w:val="clear"/>
            <w:vAlign w:val="center"/>
          </w:tcPr>
          <w:p>
            <w:pPr>
              <w:pStyle w:val="TableContents"/>
              <w:bidi w:val="0"/>
              <w:spacing w:before="0" w:after="283"/>
              <w:jc w:val="right"/>
              <w:rPr/>
            </w:pPr>
            <w:r>
              <w:rPr/>
              <w:t> </w:t>
            </w:r>
          </w:p>
        </w:tc>
        <w:tc>
          <w:tcPr>
            <w:tcW w:w="902" w:type="dxa"/>
            <w:tcBorders/>
            <w:shd w:fill="D5EAEA" w:val="clear"/>
            <w:vAlign w:val="center"/>
          </w:tcPr>
          <w:p>
            <w:pPr>
              <w:pStyle w:val="TableContents"/>
              <w:bidi w:val="0"/>
              <w:spacing w:before="0" w:after="283"/>
              <w:jc w:val="right"/>
              <w:rPr/>
            </w:pPr>
            <w:r>
              <w:rPr/>
              <w:t> </w:t>
            </w:r>
          </w:p>
        </w:tc>
        <w:tc>
          <w:tcPr>
            <w:tcW w:w="802" w:type="dxa"/>
            <w:tcBorders/>
            <w:shd w:fill="D5EAEA" w:val="clear"/>
            <w:vAlign w:val="center"/>
          </w:tcPr>
          <w:p>
            <w:pPr>
              <w:pStyle w:val="TableContents"/>
              <w:bidi w:val="0"/>
              <w:spacing w:before="0" w:after="283"/>
              <w:jc w:val="right"/>
              <w:rPr/>
            </w:pPr>
            <w:r>
              <w:rPr/>
              <w:t> </w:t>
            </w:r>
          </w:p>
        </w:tc>
        <w:tc>
          <w:tcPr>
            <w:tcW w:w="822" w:type="dxa"/>
            <w:tcBorders/>
            <w:shd w:fill="D5EAEA" w:val="clear"/>
            <w:vAlign w:val="center"/>
          </w:tcPr>
          <w:p>
            <w:pPr>
              <w:pStyle w:val="TableContents"/>
              <w:bidi w:val="0"/>
              <w:spacing w:before="0" w:after="283"/>
              <w:jc w:val="righ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Transaction costs</w:t>
            </w:r>
          </w:p>
        </w:tc>
        <w:tc>
          <w:tcPr>
            <w:tcW w:w="902" w:type="dxa"/>
            <w:tcBorders/>
            <w:shd w:fill="FFFFFF" w:val="clear"/>
            <w:vAlign w:val="center"/>
          </w:tcPr>
          <w:p>
            <w:pPr>
              <w:pStyle w:val="TableContents"/>
              <w:bidi w:val="0"/>
              <w:spacing w:before="0" w:after="283"/>
              <w:jc w:val="right"/>
              <w:rPr>
                <w:sz w:val="20"/>
              </w:rPr>
            </w:pPr>
            <w:r>
              <w:rPr>
                <w:sz w:val="20"/>
              </w:rPr>
              <w:t>(3,710)</w:t>
            </w:r>
          </w:p>
        </w:tc>
        <w:tc>
          <w:tcPr>
            <w:tcW w:w="902" w:type="dxa"/>
            <w:tcBorders/>
            <w:shd w:fill="FFFFFF" w:val="clear"/>
            <w:vAlign w:val="center"/>
          </w:tcPr>
          <w:p>
            <w:pPr>
              <w:pStyle w:val="TableContents"/>
              <w:bidi w:val="0"/>
              <w:spacing w:before="0" w:after="283"/>
              <w:jc w:val="right"/>
              <w:rPr>
                <w:sz w:val="20"/>
              </w:rPr>
            </w:pPr>
            <w:r>
              <w:rPr>
                <w:sz w:val="20"/>
              </w:rPr>
              <w:t>(376)</w:t>
            </w:r>
          </w:p>
        </w:tc>
        <w:tc>
          <w:tcPr>
            <w:tcW w:w="802" w:type="dxa"/>
            <w:tcBorders/>
            <w:shd w:fill="FFFFFF" w:val="clear"/>
            <w:vAlign w:val="center"/>
          </w:tcPr>
          <w:p>
            <w:pPr>
              <w:pStyle w:val="TableContents"/>
              <w:bidi w:val="0"/>
              <w:spacing w:before="0" w:after="283"/>
              <w:jc w:val="right"/>
              <w:rPr>
                <w:sz w:val="20"/>
              </w:rPr>
            </w:pPr>
            <w:r>
              <w:rPr>
                <w:sz w:val="20"/>
              </w:rPr>
              <w:t>(6,498)</w:t>
            </w:r>
          </w:p>
        </w:tc>
        <w:tc>
          <w:tcPr>
            <w:tcW w:w="822" w:type="dxa"/>
            <w:tcBorders/>
            <w:shd w:fill="FFFFFF" w:val="clear"/>
            <w:vAlign w:val="center"/>
          </w:tcPr>
          <w:p>
            <w:pPr>
              <w:pStyle w:val="TableContents"/>
              <w:bidi w:val="0"/>
              <w:spacing w:before="0" w:after="283"/>
              <w:jc w:val="right"/>
              <w:rPr>
                <w:sz w:val="20"/>
              </w:rPr>
            </w:pPr>
            <w:r>
              <w:rPr>
                <w:sz w:val="20"/>
              </w:rPr>
              <w:t>(1,633)</w:t>
            </w:r>
          </w:p>
        </w:tc>
      </w:tr>
      <w:tr>
        <w:trPr/>
        <w:tc>
          <w:tcPr>
            <w:tcW w:w="4010" w:type="dxa"/>
            <w:tcBorders/>
            <w:shd w:fill="D5EAEA" w:val="clear"/>
            <w:vAlign w:val="center"/>
          </w:tcPr>
          <w:p>
            <w:pPr>
              <w:pStyle w:val="TableContents"/>
              <w:bidi w:val="0"/>
              <w:spacing w:before="0" w:after="283"/>
              <w:jc w:val="left"/>
              <w:rPr>
                <w:sz w:val="20"/>
              </w:rPr>
            </w:pPr>
            <w:r>
              <w:rPr>
                <w:sz w:val="20"/>
              </w:rPr>
              <w:t>Gross obligation adjustment</w:t>
            </w:r>
          </w:p>
        </w:tc>
        <w:tc>
          <w:tcPr>
            <w:tcW w:w="902" w:type="dxa"/>
            <w:tcBorders/>
            <w:shd w:fill="D5EAEA" w:val="clear"/>
            <w:vAlign w:val="center"/>
          </w:tcPr>
          <w:p>
            <w:pPr>
              <w:pStyle w:val="TableContents"/>
              <w:bidi w:val="0"/>
              <w:spacing w:before="0" w:after="283"/>
              <w:jc w:val="right"/>
              <w:rPr>
                <w:sz w:val="20"/>
              </w:rPr>
            </w:pPr>
            <w:r>
              <w:rPr>
                <w:sz w:val="20"/>
              </w:rPr>
              <w:t>-</w:t>
            </w:r>
          </w:p>
        </w:tc>
        <w:tc>
          <w:tcPr>
            <w:tcW w:w="902" w:type="dxa"/>
            <w:tcBorders/>
            <w:shd w:fill="D5EAEA" w:val="clear"/>
            <w:vAlign w:val="center"/>
          </w:tcPr>
          <w:p>
            <w:pPr>
              <w:pStyle w:val="TableContents"/>
              <w:bidi w:val="0"/>
              <w:spacing w:before="0" w:after="283"/>
              <w:jc w:val="right"/>
              <w:rPr>
                <w:sz w:val="20"/>
              </w:rPr>
            </w:pPr>
            <w:r>
              <w:rPr>
                <w:sz w:val="20"/>
              </w:rPr>
              <w:t>-</w:t>
            </w:r>
          </w:p>
        </w:tc>
        <w:tc>
          <w:tcPr>
            <w:tcW w:w="802" w:type="dxa"/>
            <w:tcBorders/>
            <w:shd w:fill="D5EAEA" w:val="clear"/>
            <w:vAlign w:val="center"/>
          </w:tcPr>
          <w:p>
            <w:pPr>
              <w:pStyle w:val="TableContents"/>
              <w:bidi w:val="0"/>
              <w:spacing w:before="0" w:after="283"/>
              <w:jc w:val="right"/>
              <w:rPr>
                <w:sz w:val="20"/>
              </w:rPr>
            </w:pPr>
            <w:r>
              <w:rPr>
                <w:sz w:val="20"/>
              </w:rPr>
              <w:t>-</w:t>
            </w:r>
          </w:p>
        </w:tc>
        <w:tc>
          <w:tcPr>
            <w:tcW w:w="822" w:type="dxa"/>
            <w:tcBorders/>
            <w:shd w:fill="D5EAEA" w:val="clear"/>
            <w:vAlign w:val="center"/>
          </w:tcPr>
          <w:p>
            <w:pPr>
              <w:pStyle w:val="TableContents"/>
              <w:bidi w:val="0"/>
              <w:spacing w:before="0" w:after="283"/>
              <w:jc w:val="right"/>
              <w:rPr>
                <w:sz w:val="20"/>
              </w:rPr>
            </w:pPr>
            <w:r>
              <w:rPr>
                <w:sz w:val="20"/>
              </w:rPr>
              <w:t>-</w:t>
            </w:r>
          </w:p>
        </w:tc>
      </w:tr>
      <w:tr>
        <w:trPr/>
        <w:tc>
          <w:tcPr>
            <w:tcW w:w="4010" w:type="dxa"/>
            <w:tcBorders/>
            <w:shd w:fill="FFFFFF" w:val="clear"/>
            <w:vAlign w:val="center"/>
          </w:tcPr>
          <w:p>
            <w:pPr>
              <w:pStyle w:val="TableContents"/>
              <w:bidi w:val="0"/>
              <w:spacing w:before="0" w:after="283"/>
              <w:jc w:val="left"/>
              <w:rPr>
                <w:sz w:val="20"/>
              </w:rPr>
            </w:pPr>
            <w:r>
              <w:rPr>
                <w:sz w:val="20"/>
              </w:rPr>
              <w:t>Integration costs (a)</w:t>
            </w:r>
          </w:p>
        </w:tc>
        <w:tc>
          <w:tcPr>
            <w:tcW w:w="902" w:type="dxa"/>
            <w:tcBorders/>
            <w:shd w:fill="FFFFFF" w:val="clear"/>
            <w:vAlign w:val="center"/>
          </w:tcPr>
          <w:p>
            <w:pPr>
              <w:pStyle w:val="TableContents"/>
              <w:bidi w:val="0"/>
              <w:spacing w:before="0" w:after="283"/>
              <w:jc w:val="right"/>
              <w:rPr>
                <w:sz w:val="20"/>
              </w:rPr>
            </w:pPr>
            <w:r>
              <w:rPr>
                <w:sz w:val="20"/>
              </w:rPr>
              <w:t>(228)</w:t>
            </w:r>
          </w:p>
        </w:tc>
        <w:tc>
          <w:tcPr>
            <w:tcW w:w="902" w:type="dxa"/>
            <w:tcBorders/>
            <w:shd w:fill="FFFFFF" w:val="clear"/>
            <w:vAlign w:val="center"/>
          </w:tcPr>
          <w:p>
            <w:pPr>
              <w:pStyle w:val="TableContents"/>
              <w:bidi w:val="0"/>
              <w:spacing w:before="0" w:after="283"/>
              <w:jc w:val="right"/>
              <w:rPr>
                <w:sz w:val="20"/>
              </w:rPr>
            </w:pPr>
            <w:r>
              <w:rPr>
                <w:sz w:val="20"/>
              </w:rPr>
              <w:t>(1,214)</w:t>
            </w:r>
          </w:p>
        </w:tc>
        <w:tc>
          <w:tcPr>
            <w:tcW w:w="802" w:type="dxa"/>
            <w:tcBorders/>
            <w:shd w:fill="FFFFFF" w:val="clear"/>
            <w:vAlign w:val="center"/>
          </w:tcPr>
          <w:p>
            <w:pPr>
              <w:pStyle w:val="TableContents"/>
              <w:bidi w:val="0"/>
              <w:spacing w:before="0" w:after="283"/>
              <w:jc w:val="right"/>
              <w:rPr>
                <w:sz w:val="20"/>
              </w:rPr>
            </w:pPr>
            <w:r>
              <w:rPr>
                <w:sz w:val="20"/>
              </w:rPr>
              <w:t>(538)</w:t>
            </w:r>
          </w:p>
        </w:tc>
        <w:tc>
          <w:tcPr>
            <w:tcW w:w="822" w:type="dxa"/>
            <w:tcBorders/>
            <w:shd w:fill="FFFFFF" w:val="clear"/>
            <w:vAlign w:val="center"/>
          </w:tcPr>
          <w:p>
            <w:pPr>
              <w:pStyle w:val="TableContents"/>
              <w:bidi w:val="0"/>
              <w:spacing w:before="0" w:after="283"/>
              <w:jc w:val="right"/>
              <w:rPr>
                <w:sz w:val="20"/>
              </w:rPr>
            </w:pPr>
            <w:r>
              <w:rPr>
                <w:sz w:val="20"/>
              </w:rPr>
              <w:t>(2,468)</w:t>
            </w:r>
          </w:p>
        </w:tc>
      </w:tr>
      <w:tr>
        <w:trPr/>
        <w:tc>
          <w:tcPr>
            <w:tcW w:w="4010" w:type="dxa"/>
            <w:tcBorders/>
            <w:shd w:fill="D5EAEA" w:val="clear"/>
            <w:vAlign w:val="center"/>
          </w:tcPr>
          <w:p>
            <w:pPr>
              <w:pStyle w:val="TableContents"/>
              <w:bidi w:val="0"/>
              <w:spacing w:before="0" w:after="283"/>
              <w:jc w:val="left"/>
              <w:rPr>
                <w:sz w:val="20"/>
              </w:rPr>
            </w:pPr>
            <w:r>
              <w:rPr>
                <w:sz w:val="20"/>
              </w:rPr>
              <w:t>Other</w:t>
            </w:r>
          </w:p>
        </w:tc>
        <w:tc>
          <w:tcPr>
            <w:tcW w:w="90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(253)</w:t>
            </w:r>
          </w:p>
        </w:tc>
        <w:tc>
          <w:tcPr>
            <w:tcW w:w="90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(1,121)</w:t>
            </w:r>
          </w:p>
        </w:tc>
        <w:tc>
          <w:tcPr>
            <w:tcW w:w="80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(157)</w:t>
            </w:r>
          </w:p>
        </w:tc>
        <w:tc>
          <w:tcPr>
            <w:tcW w:w="82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(895)</w:t>
            </w:r>
          </w:p>
        </w:tc>
      </w:tr>
      <w:tr>
        <w:trPr/>
        <w:tc>
          <w:tcPr>
            <w:tcW w:w="4010" w:type="dxa"/>
            <w:tcBorders/>
            <w:shd w:fill="FFFFFF" w:val="clear"/>
            <w:vAlign w:val="center"/>
          </w:tcPr>
          <w:p>
            <w:pPr>
              <w:pStyle w:val="TableContents"/>
              <w:bidi w:val="0"/>
              <w:spacing w:before="0" w:after="283"/>
              <w:jc w:val="left"/>
              <w:rPr/>
            </w:pPr>
            <w:r>
              <w:rPr/>
              <w:t> </w:t>
            </w:r>
          </w:p>
        </w:tc>
        <w:tc>
          <w:tcPr>
            <w:tcW w:w="902"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(4,191)</w:t>
            </w:r>
          </w:p>
        </w:tc>
        <w:tc>
          <w:tcPr>
            <w:tcW w:w="902"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(2,711)</w:t>
            </w:r>
          </w:p>
        </w:tc>
        <w:tc>
          <w:tcPr>
            <w:tcW w:w="802"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(7,193)</w:t>
            </w:r>
          </w:p>
        </w:tc>
        <w:tc>
          <w:tcPr>
            <w:tcW w:w="822"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(4,996)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Expenditure paid to third party service providers assisting in the reorganization and integration of acquired businesses to improve the Company’s long-term future performance and efficiency.</w:t>
            </w:r>
          </w:p>
        </w:tc>
      </w:tr>
    </w:tbl>
    <w:p>
      <w:pPr>
        <w:pStyle w:val="TextBody"/>
        <w:bidi w:val="0"/>
        <w:spacing w:before="0" w:after="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35"/>
        <w:gridCol w:w="3800"/>
      </w:tblGrid>
      <w:tr>
        <w:trPr/>
        <w:tc>
          <w:tcPr>
            <w:tcW w:w="335" w:type="dxa"/>
            <w:tcBorders/>
            <w:vAlign w:val="center"/>
          </w:tcPr>
          <w:p>
            <w:pPr>
              <w:pStyle w:val="TableContents"/>
              <w:bidi w:val="0"/>
              <w:spacing w:before="0" w:after="283"/>
              <w:jc w:val="left"/>
              <w:rPr/>
            </w:pPr>
            <w:r>
              <w:rPr/>
              <w:t>27.</w:t>
            </w:r>
          </w:p>
        </w:tc>
        <w:tc>
          <w:tcPr>
            <w:tcW w:w="3800" w:type="dxa"/>
            <w:tcBorders/>
            <w:vAlign w:val="center"/>
          </w:tcPr>
          <w:p>
            <w:pPr>
              <w:pStyle w:val="TableContents"/>
              <w:bidi w:val="0"/>
              <w:spacing w:before="0" w:after="283"/>
              <w:jc w:val="left"/>
              <w:rPr/>
            </w:pPr>
            <w:r>
              <w:rPr/>
              <w:t>Finance Income and Financial expenses</w:t>
            </w:r>
          </w:p>
        </w:tc>
      </w:tr>
    </w:tbl>
    <w:p>
      <w:pPr>
        <w:pStyle w:val="TextBody"/>
        <w:bidi w:val="0"/>
        <w:spacing w:before="0" w:after="0"/>
        <w:jc w:val="left"/>
        <w:rPr>
          <w:caps w:val="false"/>
          <w:smallCaps w:val="false"/>
        </w:rPr>
      </w:pPr>
      <w:r>
        <w:rPr>
          <w:caps w:val="false"/>
          <w:smallCaps w:val="false"/>
        </w:rPr>
        <w:t> </w:t>
      </w:r>
    </w:p>
    <w:tbl>
      <w:tblPr>
        <w:tblW w:w="8309" w:type="dxa"/>
        <w:jc w:val="center"/>
        <w:tblInd w:w="0" w:type="dxa"/>
        <w:tblLayout w:type="fixed"/>
        <w:tblCellMar>
          <w:top w:w="0" w:type="dxa"/>
          <w:left w:w="0" w:type="dxa"/>
          <w:bottom w:w="0" w:type="dxa"/>
          <w:right w:w="0" w:type="dxa"/>
        </w:tblCellMar>
      </w:tblPr>
      <w:tblGrid>
        <w:gridCol w:w="4790"/>
        <w:gridCol w:w="925"/>
        <w:gridCol w:w="925"/>
        <w:gridCol w:w="826"/>
        <w:gridCol w:w="843"/>
      </w:tblGrid>
      <w:tr>
        <w:trPr/>
        <w:tc>
          <w:tcPr>
            <w:tcW w:w="479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Three-month periods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16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Six-month periods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ended June 30,</w:t>
            </w:r>
            <w:r>
              <w:rPr>
                <w:rFonts w:ascii="Times New Roman;Times;Serif" w:hAnsi="Times New Roman;Times;Serif"/>
                <w:b w:val="false"/>
                <w:i w:val="false"/>
                <w:caps w:val="false"/>
                <w:smallCaps w:val="false"/>
                <w:sz w:val="20"/>
              </w:rPr>
              <w:t> </w:t>
            </w:r>
          </w:p>
        </w:tc>
      </w:tr>
      <w:tr>
        <w:trPr/>
        <w:tc>
          <w:tcPr>
            <w:tcW w:w="4790" w:type="dxa"/>
            <w:tcBorders/>
            <w:vAlign w:val="center"/>
          </w:tcPr>
          <w:p>
            <w:pPr>
              <w:pStyle w:val="TableContents"/>
              <w:bidi w:val="0"/>
              <w:spacing w:before="0" w:after="283"/>
              <w:jc w:val="left"/>
              <w:rPr/>
            </w:pPr>
            <w:r>
              <w:rPr/>
              <w:t> </w:t>
            </w:r>
          </w:p>
        </w:tc>
        <w:tc>
          <w:tcPr>
            <w:tcW w:w="92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92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826"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84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4790" w:type="dxa"/>
            <w:tcBorders/>
            <w:vAlign w:val="center"/>
          </w:tcPr>
          <w:p>
            <w:pPr>
              <w:pStyle w:val="TableContents"/>
              <w:bidi w:val="0"/>
              <w:spacing w:before="0" w:after="283"/>
              <w:jc w:val="left"/>
              <w:rPr>
                <w:b/>
                <w:sz w:val="20"/>
              </w:rPr>
            </w:pPr>
            <w:r>
              <w:rPr>
                <w:b/>
                <w:sz w:val="20"/>
              </w:rPr>
              <w:t>Financial income</w:t>
            </w:r>
          </w:p>
        </w:tc>
        <w:tc>
          <w:tcPr>
            <w:tcW w:w="925" w:type="dxa"/>
            <w:tcBorders/>
            <w:vAlign w:val="center"/>
          </w:tcPr>
          <w:p>
            <w:pPr>
              <w:pStyle w:val="TableContents"/>
              <w:bidi w:val="0"/>
              <w:spacing w:before="0" w:after="283"/>
              <w:jc w:val="center"/>
              <w:rPr/>
            </w:pPr>
            <w:r>
              <w:rPr/>
              <w:t> </w:t>
            </w:r>
          </w:p>
        </w:tc>
        <w:tc>
          <w:tcPr>
            <w:tcW w:w="925"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pPr>
            <w:r>
              <w:rPr/>
              <w:t> </w:t>
            </w:r>
          </w:p>
        </w:tc>
        <w:tc>
          <w:tcPr>
            <w:tcW w:w="843" w:type="dxa"/>
            <w:tcBorders/>
            <w:vAlign w:val="center"/>
          </w:tcPr>
          <w:p>
            <w:pPr>
              <w:pStyle w:val="TableContents"/>
              <w:bidi w:val="0"/>
              <w:spacing w:before="0" w:after="283"/>
              <w:jc w:val="center"/>
              <w:rPr/>
            </w:pPr>
            <w:r>
              <w:rPr/>
              <w:t> </w:t>
            </w:r>
          </w:p>
        </w:tc>
      </w:tr>
      <w:tr>
        <w:trPr/>
        <w:tc>
          <w:tcPr>
            <w:tcW w:w="4790" w:type="dxa"/>
            <w:tcBorders/>
            <w:shd w:fill="D5EAEA" w:val="clear"/>
            <w:vAlign w:val="center"/>
          </w:tcPr>
          <w:p>
            <w:pPr>
              <w:pStyle w:val="TableContents"/>
              <w:bidi w:val="0"/>
              <w:spacing w:before="0" w:after="283"/>
              <w:jc w:val="left"/>
              <w:rPr>
                <w:sz w:val="20"/>
              </w:rPr>
            </w:pPr>
            <w:r>
              <w:rPr>
                <w:sz w:val="20"/>
              </w:rPr>
              <w:t>Financial investment income</w:t>
            </w:r>
          </w:p>
        </w:tc>
        <w:tc>
          <w:tcPr>
            <w:tcW w:w="925" w:type="dxa"/>
            <w:tcBorders/>
            <w:shd w:fill="D5EAEA" w:val="clear"/>
            <w:vAlign w:val="center"/>
          </w:tcPr>
          <w:p>
            <w:pPr>
              <w:pStyle w:val="TableContents"/>
              <w:bidi w:val="0"/>
              <w:spacing w:before="0" w:after="283"/>
              <w:jc w:val="right"/>
              <w:rPr>
                <w:sz w:val="20"/>
              </w:rPr>
            </w:pPr>
            <w:r>
              <w:rPr>
                <w:sz w:val="20"/>
              </w:rPr>
              <w:t>2,205</w:t>
            </w:r>
          </w:p>
        </w:tc>
        <w:tc>
          <w:tcPr>
            <w:tcW w:w="925" w:type="dxa"/>
            <w:tcBorders/>
            <w:shd w:fill="D5EAEA" w:val="clear"/>
            <w:vAlign w:val="center"/>
          </w:tcPr>
          <w:p>
            <w:pPr>
              <w:pStyle w:val="TableContents"/>
              <w:bidi w:val="0"/>
              <w:spacing w:before="0" w:after="283"/>
              <w:jc w:val="right"/>
              <w:rPr>
                <w:sz w:val="20"/>
              </w:rPr>
            </w:pPr>
            <w:r>
              <w:rPr>
                <w:sz w:val="20"/>
              </w:rPr>
              <w:t>943</w:t>
            </w:r>
          </w:p>
        </w:tc>
        <w:tc>
          <w:tcPr>
            <w:tcW w:w="826" w:type="dxa"/>
            <w:tcBorders/>
            <w:shd w:fill="D5EAEA" w:val="clear"/>
            <w:vAlign w:val="center"/>
          </w:tcPr>
          <w:p>
            <w:pPr>
              <w:pStyle w:val="TableContents"/>
              <w:bidi w:val="0"/>
              <w:spacing w:before="0" w:after="283"/>
              <w:jc w:val="right"/>
              <w:rPr>
                <w:sz w:val="20"/>
              </w:rPr>
            </w:pPr>
            <w:r>
              <w:rPr>
                <w:sz w:val="20"/>
              </w:rPr>
              <w:t>3,638</w:t>
            </w:r>
          </w:p>
        </w:tc>
        <w:tc>
          <w:tcPr>
            <w:tcW w:w="843" w:type="dxa"/>
            <w:tcBorders/>
            <w:shd w:fill="D5EAEA" w:val="clear"/>
            <w:vAlign w:val="center"/>
          </w:tcPr>
          <w:p>
            <w:pPr>
              <w:pStyle w:val="TableContents"/>
              <w:bidi w:val="0"/>
              <w:spacing w:before="0" w:after="283"/>
              <w:jc w:val="right"/>
              <w:rPr>
                <w:sz w:val="20"/>
              </w:rPr>
            </w:pPr>
            <w:r>
              <w:rPr>
                <w:sz w:val="20"/>
              </w:rPr>
              <w:t>1,433</w:t>
            </w:r>
          </w:p>
        </w:tc>
      </w:tr>
      <w:tr>
        <w:trPr/>
        <w:tc>
          <w:tcPr>
            <w:tcW w:w="4790" w:type="dxa"/>
            <w:tcBorders/>
            <w:shd w:fill="FFFFFF" w:val="clear"/>
            <w:vAlign w:val="center"/>
          </w:tcPr>
          <w:p>
            <w:pPr>
              <w:pStyle w:val="TableContents"/>
              <w:bidi w:val="0"/>
              <w:spacing w:before="0" w:after="283"/>
              <w:jc w:val="left"/>
              <w:rPr>
                <w:sz w:val="20"/>
              </w:rPr>
            </w:pPr>
            <w:r>
              <w:rPr>
                <w:sz w:val="20"/>
              </w:rPr>
              <w:t>Unrealized gains from long-term investments</w:t>
            </w:r>
          </w:p>
        </w:tc>
        <w:tc>
          <w:tcPr>
            <w:tcW w:w="925" w:type="dxa"/>
            <w:tcBorders/>
            <w:shd w:fill="FFFFFF" w:val="clear"/>
            <w:vAlign w:val="center"/>
          </w:tcPr>
          <w:p>
            <w:pPr>
              <w:pStyle w:val="TableContents"/>
              <w:bidi w:val="0"/>
              <w:spacing w:before="0" w:after="283"/>
              <w:jc w:val="right"/>
              <w:rPr>
                <w:sz w:val="20"/>
              </w:rPr>
            </w:pPr>
            <w:r>
              <w:rPr>
                <w:sz w:val="20"/>
              </w:rPr>
              <w:t>1,489</w:t>
            </w:r>
          </w:p>
        </w:tc>
        <w:tc>
          <w:tcPr>
            <w:tcW w:w="925" w:type="dxa"/>
            <w:tcBorders/>
            <w:shd w:fill="FFFFFF" w:val="clear"/>
            <w:vAlign w:val="center"/>
          </w:tcPr>
          <w:p>
            <w:pPr>
              <w:pStyle w:val="TableContents"/>
              <w:bidi w:val="0"/>
              <w:spacing w:before="0" w:after="283"/>
              <w:jc w:val="right"/>
              <w:rPr>
                <w:sz w:val="20"/>
              </w:rPr>
            </w:pPr>
            <w:r>
              <w:rPr>
                <w:sz w:val="20"/>
              </w:rPr>
              <w:t>-</w:t>
            </w:r>
          </w:p>
        </w:tc>
        <w:tc>
          <w:tcPr>
            <w:tcW w:w="826" w:type="dxa"/>
            <w:tcBorders/>
            <w:shd w:fill="FFFFFF" w:val="clear"/>
            <w:vAlign w:val="center"/>
          </w:tcPr>
          <w:p>
            <w:pPr>
              <w:pStyle w:val="TableContents"/>
              <w:bidi w:val="0"/>
              <w:spacing w:before="0" w:after="283"/>
              <w:jc w:val="right"/>
              <w:rPr>
                <w:sz w:val="20"/>
              </w:rPr>
            </w:pPr>
            <w:r>
              <w:rPr>
                <w:sz w:val="20"/>
              </w:rPr>
              <w:t>1,489</w:t>
            </w:r>
          </w:p>
        </w:tc>
        <w:tc>
          <w:tcPr>
            <w:tcW w:w="843" w:type="dxa"/>
            <w:tcBorders/>
            <w:shd w:fill="FFFFFF" w:val="clear"/>
            <w:vAlign w:val="center"/>
          </w:tcPr>
          <w:p>
            <w:pPr>
              <w:pStyle w:val="TableContents"/>
              <w:bidi w:val="0"/>
              <w:spacing w:before="0" w:after="283"/>
              <w:jc w:val="right"/>
              <w:rPr>
                <w:sz w:val="20"/>
              </w:rPr>
            </w:pPr>
            <w:r>
              <w:rPr>
                <w:sz w:val="20"/>
              </w:rPr>
              <w:t>20</w:t>
            </w:r>
          </w:p>
        </w:tc>
      </w:tr>
      <w:tr>
        <w:trPr/>
        <w:tc>
          <w:tcPr>
            <w:tcW w:w="4790" w:type="dxa"/>
            <w:tcBorders/>
            <w:shd w:fill="D5EAEA" w:val="clear"/>
            <w:vAlign w:val="center"/>
          </w:tcPr>
          <w:p>
            <w:pPr>
              <w:pStyle w:val="TableContents"/>
              <w:bidi w:val="0"/>
              <w:spacing w:before="0" w:after="283"/>
              <w:jc w:val="left"/>
              <w:rPr>
                <w:sz w:val="20"/>
              </w:rPr>
            </w:pPr>
            <w:r>
              <w:rPr>
                <w:sz w:val="20"/>
              </w:rPr>
              <w:t>Unrealized gains on other financial instruments</w:t>
            </w:r>
          </w:p>
        </w:tc>
        <w:tc>
          <w:tcPr>
            <w:tcW w:w="925" w:type="dxa"/>
            <w:tcBorders/>
            <w:shd w:fill="D5EAEA" w:val="clear"/>
            <w:vAlign w:val="center"/>
          </w:tcPr>
          <w:p>
            <w:pPr>
              <w:pStyle w:val="TableContents"/>
              <w:bidi w:val="0"/>
              <w:spacing w:before="0" w:after="283"/>
              <w:jc w:val="right"/>
              <w:rPr>
                <w:sz w:val="20"/>
              </w:rPr>
            </w:pPr>
            <w:r>
              <w:rPr>
                <w:sz w:val="20"/>
              </w:rPr>
              <w:t>562</w:t>
            </w:r>
          </w:p>
        </w:tc>
        <w:tc>
          <w:tcPr>
            <w:tcW w:w="925" w:type="dxa"/>
            <w:tcBorders/>
            <w:shd w:fill="D5EAEA" w:val="clear"/>
            <w:vAlign w:val="center"/>
          </w:tcPr>
          <w:p>
            <w:pPr>
              <w:pStyle w:val="TableContents"/>
              <w:bidi w:val="0"/>
              <w:spacing w:before="0" w:after="283"/>
              <w:jc w:val="right"/>
              <w:rPr>
                <w:sz w:val="20"/>
              </w:rPr>
            </w:pPr>
            <w:r>
              <w:rPr>
                <w:sz w:val="20"/>
              </w:rPr>
              <w:t>-</w:t>
            </w:r>
          </w:p>
        </w:tc>
        <w:tc>
          <w:tcPr>
            <w:tcW w:w="826" w:type="dxa"/>
            <w:tcBorders/>
            <w:shd w:fill="D5EAEA" w:val="clear"/>
            <w:vAlign w:val="center"/>
          </w:tcPr>
          <w:p>
            <w:pPr>
              <w:pStyle w:val="TableContents"/>
              <w:bidi w:val="0"/>
              <w:spacing w:before="0" w:after="283"/>
              <w:jc w:val="right"/>
              <w:rPr>
                <w:sz w:val="20"/>
              </w:rPr>
            </w:pPr>
            <w:r>
              <w:rPr>
                <w:sz w:val="20"/>
              </w:rPr>
              <w:t>2,177</w:t>
            </w:r>
          </w:p>
        </w:tc>
        <w:tc>
          <w:tcPr>
            <w:tcW w:w="843" w:type="dxa"/>
            <w:tcBorders/>
            <w:shd w:fill="D5EAEA" w:val="clear"/>
            <w:vAlign w:val="center"/>
          </w:tcPr>
          <w:p>
            <w:pPr>
              <w:pStyle w:val="TableContents"/>
              <w:bidi w:val="0"/>
              <w:spacing w:before="0" w:after="283"/>
              <w:jc w:val="right"/>
              <w:rPr>
                <w:sz w:val="20"/>
              </w:rPr>
            </w:pPr>
            <w:r>
              <w:rPr>
                <w:sz w:val="20"/>
              </w:rPr>
              <w:t>-</w:t>
            </w:r>
          </w:p>
        </w:tc>
      </w:tr>
      <w:tr>
        <w:trPr/>
        <w:tc>
          <w:tcPr>
            <w:tcW w:w="4790" w:type="dxa"/>
            <w:tcBorders/>
            <w:shd w:fill="FFFFFF" w:val="clear"/>
            <w:vAlign w:val="center"/>
          </w:tcPr>
          <w:p>
            <w:pPr>
              <w:pStyle w:val="TableContents"/>
              <w:bidi w:val="0"/>
              <w:spacing w:before="0" w:after="283"/>
              <w:jc w:val="left"/>
              <w:rPr>
                <w:sz w:val="20"/>
              </w:rPr>
            </w:pPr>
            <w:r>
              <w:rPr>
                <w:sz w:val="20"/>
              </w:rPr>
              <w:t>Unrealized gains on asset-linked receivable</w:t>
            </w:r>
          </w:p>
        </w:tc>
        <w:tc>
          <w:tcPr>
            <w:tcW w:w="925" w:type="dxa"/>
            <w:tcBorders/>
            <w:shd w:fill="FFFFFF" w:val="clear"/>
            <w:vAlign w:val="center"/>
          </w:tcPr>
          <w:p>
            <w:pPr>
              <w:pStyle w:val="TableContents"/>
              <w:bidi w:val="0"/>
              <w:spacing w:before="0" w:after="283"/>
              <w:jc w:val="right"/>
              <w:rPr>
                <w:sz w:val="20"/>
              </w:rPr>
            </w:pPr>
            <w:r>
              <w:rPr>
                <w:sz w:val="20"/>
              </w:rPr>
              <w:t>-</w:t>
            </w:r>
          </w:p>
        </w:tc>
        <w:tc>
          <w:tcPr>
            <w:tcW w:w="925" w:type="dxa"/>
            <w:tcBorders/>
            <w:shd w:fill="FFFFFF" w:val="clear"/>
            <w:vAlign w:val="center"/>
          </w:tcPr>
          <w:p>
            <w:pPr>
              <w:pStyle w:val="TableContents"/>
              <w:bidi w:val="0"/>
              <w:spacing w:before="0" w:after="283"/>
              <w:jc w:val="right"/>
              <w:rPr>
                <w:sz w:val="20"/>
              </w:rPr>
            </w:pPr>
            <w:r>
              <w:rPr>
                <w:sz w:val="20"/>
              </w:rPr>
              <w:t>-</w:t>
            </w:r>
          </w:p>
        </w:tc>
        <w:tc>
          <w:tcPr>
            <w:tcW w:w="826" w:type="dxa"/>
            <w:tcBorders/>
            <w:shd w:fill="FFFFFF" w:val="clear"/>
            <w:vAlign w:val="center"/>
          </w:tcPr>
          <w:p>
            <w:pPr>
              <w:pStyle w:val="TableContents"/>
              <w:bidi w:val="0"/>
              <w:spacing w:before="0" w:after="283"/>
              <w:jc w:val="right"/>
              <w:rPr>
                <w:sz w:val="20"/>
              </w:rPr>
            </w:pPr>
            <w:r>
              <w:rPr>
                <w:sz w:val="20"/>
              </w:rPr>
              <w:t>-</w:t>
            </w:r>
          </w:p>
        </w:tc>
        <w:tc>
          <w:tcPr>
            <w:tcW w:w="843" w:type="dxa"/>
            <w:tcBorders/>
            <w:shd w:fill="FFFFFF" w:val="clear"/>
            <w:vAlign w:val="center"/>
          </w:tcPr>
          <w:p>
            <w:pPr>
              <w:pStyle w:val="TableContents"/>
              <w:bidi w:val="0"/>
              <w:spacing w:before="0" w:after="283"/>
              <w:jc w:val="right"/>
              <w:rPr>
                <w:sz w:val="20"/>
              </w:rPr>
            </w:pPr>
            <w:r>
              <w:rPr>
                <w:sz w:val="20"/>
              </w:rPr>
              <w:t>3,053</w:t>
            </w:r>
          </w:p>
        </w:tc>
      </w:tr>
      <w:tr>
        <w:trPr/>
        <w:tc>
          <w:tcPr>
            <w:tcW w:w="4790" w:type="dxa"/>
            <w:tcBorders/>
            <w:shd w:fill="D5EAEA" w:val="clear"/>
            <w:vAlign w:val="center"/>
          </w:tcPr>
          <w:p>
            <w:pPr>
              <w:pStyle w:val="TableContents"/>
              <w:bidi w:val="0"/>
              <w:spacing w:before="0" w:after="283"/>
              <w:jc w:val="left"/>
              <w:rPr>
                <w:sz w:val="20"/>
              </w:rPr>
            </w:pPr>
            <w:r>
              <w:rPr>
                <w:sz w:val="20"/>
              </w:rPr>
              <w:t>Foreign exchange gains</w:t>
            </w:r>
          </w:p>
        </w:tc>
        <w:tc>
          <w:tcPr>
            <w:tcW w:w="925" w:type="dxa"/>
            <w:tcBorders/>
            <w:shd w:fill="D5EAEA" w:val="clear"/>
            <w:vAlign w:val="center"/>
          </w:tcPr>
          <w:p>
            <w:pPr>
              <w:pStyle w:val="TableContents"/>
              <w:bidi w:val="0"/>
              <w:spacing w:before="0" w:after="283"/>
              <w:jc w:val="right"/>
              <w:rPr>
                <w:sz w:val="20"/>
              </w:rPr>
            </w:pPr>
            <w:r>
              <w:rPr>
                <w:sz w:val="20"/>
              </w:rPr>
              <w:t>236</w:t>
            </w:r>
          </w:p>
        </w:tc>
        <w:tc>
          <w:tcPr>
            <w:tcW w:w="925" w:type="dxa"/>
            <w:tcBorders/>
            <w:shd w:fill="D5EAEA" w:val="clear"/>
            <w:vAlign w:val="center"/>
          </w:tcPr>
          <w:p>
            <w:pPr>
              <w:pStyle w:val="TableContents"/>
              <w:bidi w:val="0"/>
              <w:spacing w:before="0" w:after="283"/>
              <w:jc w:val="right"/>
              <w:rPr>
                <w:sz w:val="20"/>
              </w:rPr>
            </w:pPr>
            <w:r>
              <w:rPr>
                <w:sz w:val="20"/>
              </w:rPr>
              <w:t>238</w:t>
            </w:r>
          </w:p>
        </w:tc>
        <w:tc>
          <w:tcPr>
            <w:tcW w:w="826" w:type="dxa"/>
            <w:tcBorders/>
            <w:shd w:fill="D5EAEA" w:val="clear"/>
            <w:vAlign w:val="center"/>
          </w:tcPr>
          <w:p>
            <w:pPr>
              <w:pStyle w:val="TableContents"/>
              <w:bidi w:val="0"/>
              <w:spacing w:before="0" w:after="283"/>
              <w:jc w:val="right"/>
              <w:rPr>
                <w:sz w:val="20"/>
              </w:rPr>
            </w:pPr>
            <w:r>
              <w:rPr>
                <w:sz w:val="20"/>
              </w:rPr>
              <w:t>2,551</w:t>
            </w:r>
          </w:p>
        </w:tc>
        <w:tc>
          <w:tcPr>
            <w:tcW w:w="843" w:type="dxa"/>
            <w:tcBorders/>
            <w:shd w:fill="D5EAEA" w:val="clear"/>
            <w:vAlign w:val="center"/>
          </w:tcPr>
          <w:p>
            <w:pPr>
              <w:pStyle w:val="TableContents"/>
              <w:bidi w:val="0"/>
              <w:spacing w:before="0" w:after="283"/>
              <w:jc w:val="right"/>
              <w:rPr>
                <w:sz w:val="20"/>
              </w:rPr>
            </w:pPr>
            <w:r>
              <w:rPr>
                <w:sz w:val="20"/>
              </w:rPr>
              <w:t>453</w:t>
            </w:r>
          </w:p>
        </w:tc>
      </w:tr>
      <w:tr>
        <w:trPr/>
        <w:tc>
          <w:tcPr>
            <w:tcW w:w="4790" w:type="dxa"/>
            <w:tcBorders/>
            <w:shd w:fill="FFFFFF" w:val="clear"/>
            <w:vAlign w:val="center"/>
          </w:tcPr>
          <w:p>
            <w:pPr>
              <w:pStyle w:val="TableContents"/>
              <w:bidi w:val="0"/>
              <w:spacing w:before="0" w:after="283"/>
              <w:jc w:val="left"/>
              <w:rPr>
                <w:sz w:val="20"/>
              </w:rPr>
            </w:pPr>
            <w:r>
              <w:rPr>
                <w:sz w:val="20"/>
              </w:rPr>
              <w:t>Other financial income</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r>
      <w:tr>
        <w:trPr/>
        <w:tc>
          <w:tcPr>
            <w:tcW w:w="4790" w:type="dxa"/>
            <w:tcBorders/>
            <w:shd w:fill="D5EAEA" w:val="clear"/>
            <w:vAlign w:val="center"/>
          </w:tcPr>
          <w:p>
            <w:pPr>
              <w:pStyle w:val="TableContents"/>
              <w:bidi w:val="0"/>
              <w:spacing w:before="0" w:after="283"/>
              <w:jc w:val="left"/>
              <w:rPr>
                <w:b/>
                <w:sz w:val="20"/>
              </w:rPr>
            </w:pPr>
            <w:r>
              <w:rPr>
                <w:b/>
                <w:sz w:val="20"/>
              </w:rPr>
              <w:t>Total finance income</w:t>
            </w:r>
          </w:p>
        </w:tc>
        <w:tc>
          <w:tcPr>
            <w:tcW w:w="92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4,525</w:t>
            </w:r>
          </w:p>
        </w:tc>
        <w:tc>
          <w:tcPr>
            <w:tcW w:w="92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1,181</w:t>
            </w:r>
          </w:p>
        </w:tc>
        <w:tc>
          <w:tcPr>
            <w:tcW w:w="826"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9,888</w:t>
            </w:r>
          </w:p>
        </w:tc>
        <w:tc>
          <w:tcPr>
            <w:tcW w:w="843"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4,959</w:t>
            </w:r>
          </w:p>
        </w:tc>
      </w:tr>
      <w:tr>
        <w:trPr/>
        <w:tc>
          <w:tcPr>
            <w:tcW w:w="479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925"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pPr>
            <w:r>
              <w:rPr/>
              <w:t> </w:t>
            </w:r>
          </w:p>
        </w:tc>
        <w:tc>
          <w:tcPr>
            <w:tcW w:w="843" w:type="dxa"/>
            <w:tcBorders/>
            <w:shd w:fill="FFFFFF" w:val="clear"/>
            <w:vAlign w:val="center"/>
          </w:tcPr>
          <w:p>
            <w:pPr>
              <w:pStyle w:val="TableContents"/>
              <w:bidi w:val="0"/>
              <w:spacing w:before="0" w:after="283"/>
              <w:jc w:val="right"/>
              <w:rPr/>
            </w:pPr>
            <w:r>
              <w:rPr/>
              <w:t> </w:t>
            </w:r>
          </w:p>
        </w:tc>
      </w:tr>
      <w:tr>
        <w:trPr/>
        <w:tc>
          <w:tcPr>
            <w:tcW w:w="4790" w:type="dxa"/>
            <w:tcBorders/>
            <w:shd w:fill="D5EAEA" w:val="clear"/>
            <w:vAlign w:val="center"/>
          </w:tcPr>
          <w:p>
            <w:pPr>
              <w:pStyle w:val="TableContents"/>
              <w:bidi w:val="0"/>
              <w:spacing w:before="0" w:after="283"/>
              <w:jc w:val="left"/>
              <w:rPr>
                <w:b/>
                <w:sz w:val="20"/>
              </w:rPr>
            </w:pPr>
            <w:r>
              <w:rPr>
                <w:b/>
                <w:sz w:val="20"/>
              </w:rPr>
              <w:t>Financial expenses</w:t>
            </w:r>
          </w:p>
        </w:tc>
        <w:tc>
          <w:tcPr>
            <w:tcW w:w="925" w:type="dxa"/>
            <w:tcBorders/>
            <w:shd w:fill="D5EAEA" w:val="clear"/>
            <w:vAlign w:val="center"/>
          </w:tcPr>
          <w:p>
            <w:pPr>
              <w:pStyle w:val="TableContents"/>
              <w:bidi w:val="0"/>
              <w:spacing w:before="0" w:after="283"/>
              <w:jc w:val="right"/>
              <w:rPr/>
            </w:pPr>
            <w:r>
              <w:rPr/>
              <w:t> </w:t>
            </w:r>
          </w:p>
        </w:tc>
        <w:tc>
          <w:tcPr>
            <w:tcW w:w="925" w:type="dxa"/>
            <w:tcBorders/>
            <w:shd w:fill="D5EAEA" w:val="clear"/>
            <w:vAlign w:val="center"/>
          </w:tcPr>
          <w:p>
            <w:pPr>
              <w:pStyle w:val="TableContents"/>
              <w:bidi w:val="0"/>
              <w:spacing w:before="0" w:after="283"/>
              <w:jc w:val="right"/>
              <w:rPr/>
            </w:pPr>
            <w:r>
              <w:rPr/>
              <w:t> </w:t>
            </w:r>
          </w:p>
        </w:tc>
        <w:tc>
          <w:tcPr>
            <w:tcW w:w="826" w:type="dxa"/>
            <w:tcBorders/>
            <w:shd w:fill="D5EAEA" w:val="clear"/>
            <w:vAlign w:val="center"/>
          </w:tcPr>
          <w:p>
            <w:pPr>
              <w:pStyle w:val="TableContents"/>
              <w:bidi w:val="0"/>
              <w:spacing w:before="0" w:after="283"/>
              <w:jc w:val="right"/>
              <w:rPr/>
            </w:pPr>
            <w:r>
              <w:rPr/>
              <w:t> </w:t>
            </w:r>
          </w:p>
        </w:tc>
        <w:tc>
          <w:tcPr>
            <w:tcW w:w="843" w:type="dxa"/>
            <w:tcBorders/>
            <w:shd w:fill="D5EAEA" w:val="clear"/>
            <w:vAlign w:val="center"/>
          </w:tcPr>
          <w:p>
            <w:pPr>
              <w:pStyle w:val="TableContents"/>
              <w:bidi w:val="0"/>
              <w:spacing w:before="0" w:after="283"/>
              <w:jc w:val="right"/>
              <w:rPr/>
            </w:pPr>
            <w:r>
              <w:rPr/>
              <w:t> </w:t>
            </w:r>
          </w:p>
        </w:tc>
      </w:tr>
      <w:tr>
        <w:trPr/>
        <w:tc>
          <w:tcPr>
            <w:tcW w:w="4790" w:type="dxa"/>
            <w:tcBorders/>
            <w:shd w:fill="FFFFFF" w:val="clear"/>
            <w:vAlign w:val="center"/>
          </w:tcPr>
          <w:p>
            <w:pPr>
              <w:pStyle w:val="TableContents"/>
              <w:bidi w:val="0"/>
              <w:spacing w:before="0" w:after="283"/>
              <w:jc w:val="left"/>
              <w:rPr>
                <w:sz w:val="20"/>
              </w:rPr>
            </w:pPr>
            <w:r>
              <w:rPr>
                <w:sz w:val="20"/>
              </w:rPr>
              <w:t xml:space="preserve">Unrealized losses on long-term investments </w:t>
            </w:r>
          </w:p>
        </w:tc>
        <w:tc>
          <w:tcPr>
            <w:tcW w:w="925" w:type="dxa"/>
            <w:tcBorders/>
            <w:shd w:fill="FFFFFF" w:val="clear"/>
            <w:vAlign w:val="center"/>
          </w:tcPr>
          <w:p>
            <w:pPr>
              <w:pStyle w:val="TableContents"/>
              <w:bidi w:val="0"/>
              <w:spacing w:before="0" w:after="283"/>
              <w:jc w:val="right"/>
              <w:rPr>
                <w:sz w:val="20"/>
              </w:rPr>
            </w:pPr>
            <w:r>
              <w:rPr>
                <w:sz w:val="20"/>
              </w:rPr>
              <w:t>218</w:t>
            </w:r>
          </w:p>
        </w:tc>
        <w:tc>
          <w:tcPr>
            <w:tcW w:w="925" w:type="dxa"/>
            <w:tcBorders/>
            <w:shd w:fill="FFFFFF" w:val="clear"/>
            <w:vAlign w:val="center"/>
          </w:tcPr>
          <w:p>
            <w:pPr>
              <w:pStyle w:val="TableContents"/>
              <w:bidi w:val="0"/>
              <w:spacing w:before="0" w:after="283"/>
              <w:jc w:val="right"/>
              <w:rPr>
                <w:sz w:val="20"/>
              </w:rPr>
            </w:pPr>
            <w:r>
              <w:rPr>
                <w:sz w:val="20"/>
              </w:rPr>
              <w:t>(1,330)</w:t>
            </w:r>
          </w:p>
        </w:tc>
        <w:tc>
          <w:tcPr>
            <w:tcW w:w="826" w:type="dxa"/>
            <w:tcBorders/>
            <w:shd w:fill="FFFFFF" w:val="clear"/>
            <w:vAlign w:val="center"/>
          </w:tcPr>
          <w:p>
            <w:pPr>
              <w:pStyle w:val="TableContents"/>
              <w:bidi w:val="0"/>
              <w:spacing w:before="0" w:after="283"/>
              <w:jc w:val="right"/>
              <w:rPr>
                <w:sz w:val="20"/>
              </w:rPr>
            </w:pPr>
            <w:r>
              <w:rPr>
                <w:sz w:val="20"/>
              </w:rPr>
              <w:t>(604)</w:t>
            </w:r>
          </w:p>
        </w:tc>
        <w:tc>
          <w:tcPr>
            <w:tcW w:w="843" w:type="dxa"/>
            <w:tcBorders/>
            <w:shd w:fill="FFFFFF" w:val="clear"/>
            <w:vAlign w:val="center"/>
          </w:tcPr>
          <w:p>
            <w:pPr>
              <w:pStyle w:val="TableContents"/>
              <w:bidi w:val="0"/>
              <w:spacing w:before="0" w:after="283"/>
              <w:jc w:val="right"/>
              <w:rPr>
                <w:sz w:val="20"/>
              </w:rPr>
            </w:pPr>
            <w:r>
              <w:rPr>
                <w:sz w:val="20"/>
              </w:rPr>
              <w:t>(6,337)</w:t>
            </w:r>
          </w:p>
        </w:tc>
      </w:tr>
      <w:tr>
        <w:trPr/>
        <w:tc>
          <w:tcPr>
            <w:tcW w:w="4790" w:type="dxa"/>
            <w:tcBorders/>
            <w:shd w:fill="D5EAEA" w:val="clear"/>
            <w:vAlign w:val="center"/>
          </w:tcPr>
          <w:p>
            <w:pPr>
              <w:pStyle w:val="TableContents"/>
              <w:bidi w:val="0"/>
              <w:spacing w:before="0" w:after="283"/>
              <w:jc w:val="left"/>
              <w:rPr>
                <w:sz w:val="20"/>
              </w:rPr>
            </w:pPr>
            <w:r>
              <w:rPr>
                <w:sz w:val="20"/>
              </w:rPr>
              <w:t xml:space="preserve">Unrealized loss on warrant liability </w:t>
            </w:r>
          </w:p>
        </w:tc>
        <w:tc>
          <w:tcPr>
            <w:tcW w:w="925" w:type="dxa"/>
            <w:tcBorders/>
            <w:shd w:fill="D5EAEA" w:val="clear"/>
            <w:vAlign w:val="center"/>
          </w:tcPr>
          <w:p>
            <w:pPr>
              <w:pStyle w:val="TableContents"/>
              <w:bidi w:val="0"/>
              <w:spacing w:before="0" w:after="283"/>
              <w:jc w:val="right"/>
              <w:rPr>
                <w:sz w:val="20"/>
              </w:rPr>
            </w:pPr>
            <w:r>
              <w:rPr>
                <w:sz w:val="20"/>
              </w:rPr>
              <w:t>-</w:t>
            </w:r>
          </w:p>
        </w:tc>
        <w:tc>
          <w:tcPr>
            <w:tcW w:w="925" w:type="dxa"/>
            <w:tcBorders/>
            <w:shd w:fill="D5EAEA" w:val="clear"/>
            <w:vAlign w:val="center"/>
          </w:tcPr>
          <w:p>
            <w:pPr>
              <w:pStyle w:val="TableContents"/>
              <w:bidi w:val="0"/>
              <w:spacing w:before="0" w:after="283"/>
              <w:jc w:val="right"/>
              <w:rPr>
                <w:sz w:val="20"/>
              </w:rPr>
            </w:pPr>
            <w:r>
              <w:rPr>
                <w:sz w:val="20"/>
              </w:rPr>
              <w:t>-</w:t>
            </w:r>
          </w:p>
        </w:tc>
        <w:tc>
          <w:tcPr>
            <w:tcW w:w="826" w:type="dxa"/>
            <w:tcBorders/>
            <w:shd w:fill="D5EAEA" w:val="clear"/>
            <w:vAlign w:val="center"/>
          </w:tcPr>
          <w:p>
            <w:pPr>
              <w:pStyle w:val="TableContents"/>
              <w:bidi w:val="0"/>
              <w:spacing w:before="0" w:after="283"/>
              <w:jc w:val="right"/>
              <w:rPr>
                <w:sz w:val="20"/>
              </w:rPr>
            </w:pPr>
            <w:r>
              <w:rPr>
                <w:sz w:val="20"/>
              </w:rPr>
              <w:t>-</w:t>
            </w:r>
          </w:p>
        </w:tc>
        <w:tc>
          <w:tcPr>
            <w:tcW w:w="843" w:type="dxa"/>
            <w:tcBorders/>
            <w:shd w:fill="D5EAEA" w:val="clear"/>
            <w:vAlign w:val="center"/>
          </w:tcPr>
          <w:p>
            <w:pPr>
              <w:pStyle w:val="TableContents"/>
              <w:bidi w:val="0"/>
              <w:spacing w:before="0" w:after="283"/>
              <w:jc w:val="right"/>
              <w:rPr>
                <w:sz w:val="20"/>
              </w:rPr>
            </w:pPr>
            <w:r>
              <w:rPr>
                <w:sz w:val="20"/>
              </w:rPr>
              <w:t>(1,102)</w:t>
            </w:r>
          </w:p>
        </w:tc>
      </w:tr>
      <w:tr>
        <w:trPr/>
        <w:tc>
          <w:tcPr>
            <w:tcW w:w="4790" w:type="dxa"/>
            <w:tcBorders/>
            <w:shd w:fill="FFFFFF" w:val="clear"/>
            <w:vAlign w:val="center"/>
          </w:tcPr>
          <w:p>
            <w:pPr>
              <w:pStyle w:val="TableContents"/>
              <w:bidi w:val="0"/>
              <w:spacing w:before="0" w:after="283"/>
              <w:jc w:val="left"/>
              <w:rPr>
                <w:sz w:val="20"/>
              </w:rPr>
            </w:pPr>
            <w:r>
              <w:rPr>
                <w:sz w:val="20"/>
              </w:rPr>
              <w:t>Unrealized losses on other derivative financial instruments</w:t>
            </w:r>
          </w:p>
        </w:tc>
        <w:tc>
          <w:tcPr>
            <w:tcW w:w="925" w:type="dxa"/>
            <w:tcBorders/>
            <w:shd w:fill="FFFFFF" w:val="clear"/>
            <w:vAlign w:val="center"/>
          </w:tcPr>
          <w:p>
            <w:pPr>
              <w:pStyle w:val="TableContents"/>
              <w:bidi w:val="0"/>
              <w:spacing w:before="0" w:after="283"/>
              <w:jc w:val="right"/>
              <w:rPr>
                <w:sz w:val="20"/>
              </w:rPr>
            </w:pPr>
            <w:r>
              <w:rPr>
                <w:sz w:val="20"/>
              </w:rPr>
              <w:t>-</w:t>
            </w:r>
          </w:p>
        </w:tc>
        <w:tc>
          <w:tcPr>
            <w:tcW w:w="925" w:type="dxa"/>
            <w:tcBorders/>
            <w:shd w:fill="FFFFFF" w:val="clear"/>
            <w:vAlign w:val="center"/>
          </w:tcPr>
          <w:p>
            <w:pPr>
              <w:pStyle w:val="TableContents"/>
              <w:bidi w:val="0"/>
              <w:spacing w:before="0" w:after="283"/>
              <w:jc w:val="right"/>
              <w:rPr>
                <w:sz w:val="20"/>
              </w:rPr>
            </w:pPr>
            <w:r>
              <w:rPr>
                <w:sz w:val="20"/>
              </w:rPr>
              <w:t>-</w:t>
            </w:r>
          </w:p>
        </w:tc>
        <w:tc>
          <w:tcPr>
            <w:tcW w:w="826" w:type="dxa"/>
            <w:tcBorders/>
            <w:shd w:fill="FFFFFF" w:val="clear"/>
            <w:vAlign w:val="center"/>
          </w:tcPr>
          <w:p>
            <w:pPr>
              <w:pStyle w:val="TableContents"/>
              <w:bidi w:val="0"/>
              <w:spacing w:before="0" w:after="283"/>
              <w:jc w:val="right"/>
              <w:rPr>
                <w:sz w:val="20"/>
              </w:rPr>
            </w:pPr>
            <w:r>
              <w:rPr>
                <w:sz w:val="20"/>
              </w:rPr>
              <w:t>-</w:t>
            </w:r>
          </w:p>
        </w:tc>
        <w:tc>
          <w:tcPr>
            <w:tcW w:w="843" w:type="dxa"/>
            <w:tcBorders/>
            <w:shd w:fill="FFFFFF" w:val="clear"/>
            <w:vAlign w:val="center"/>
          </w:tcPr>
          <w:p>
            <w:pPr>
              <w:pStyle w:val="TableContents"/>
              <w:bidi w:val="0"/>
              <w:spacing w:before="0" w:after="283"/>
              <w:jc w:val="right"/>
              <w:rPr>
                <w:sz w:val="20"/>
              </w:rPr>
            </w:pPr>
            <w:r>
              <w:rPr>
                <w:sz w:val="20"/>
              </w:rPr>
              <w:t>(929)</w:t>
            </w:r>
          </w:p>
        </w:tc>
      </w:tr>
      <w:tr>
        <w:trPr/>
        <w:tc>
          <w:tcPr>
            <w:tcW w:w="4790" w:type="dxa"/>
            <w:tcBorders/>
            <w:shd w:fill="D5EAEA" w:val="clear"/>
            <w:vAlign w:val="center"/>
          </w:tcPr>
          <w:p>
            <w:pPr>
              <w:pStyle w:val="TableContents"/>
              <w:bidi w:val="0"/>
              <w:spacing w:before="0" w:after="283"/>
              <w:jc w:val="left"/>
              <w:rPr>
                <w:sz w:val="20"/>
              </w:rPr>
            </w:pPr>
            <w:r>
              <w:rPr>
                <w:sz w:val="20"/>
              </w:rPr>
              <w:t>Unrealized losses on total return swap</w:t>
            </w:r>
          </w:p>
        </w:tc>
        <w:tc>
          <w:tcPr>
            <w:tcW w:w="925" w:type="dxa"/>
            <w:tcBorders/>
            <w:shd w:fill="D5EAEA" w:val="clear"/>
            <w:vAlign w:val="center"/>
          </w:tcPr>
          <w:p>
            <w:pPr>
              <w:pStyle w:val="TableContents"/>
              <w:bidi w:val="0"/>
              <w:spacing w:before="0" w:after="283"/>
              <w:jc w:val="right"/>
              <w:rPr>
                <w:sz w:val="20"/>
              </w:rPr>
            </w:pPr>
            <w:r>
              <w:rPr>
                <w:sz w:val="20"/>
              </w:rPr>
              <w:t>(4,797)</w:t>
            </w:r>
          </w:p>
        </w:tc>
        <w:tc>
          <w:tcPr>
            <w:tcW w:w="925" w:type="dxa"/>
            <w:tcBorders/>
            <w:shd w:fill="D5EAEA" w:val="clear"/>
            <w:vAlign w:val="center"/>
          </w:tcPr>
          <w:p>
            <w:pPr>
              <w:pStyle w:val="TableContents"/>
              <w:bidi w:val="0"/>
              <w:spacing w:before="0" w:after="283"/>
              <w:jc w:val="right"/>
              <w:rPr>
                <w:sz w:val="20"/>
              </w:rPr>
            </w:pPr>
            <w:r>
              <w:rPr>
                <w:sz w:val="20"/>
              </w:rPr>
              <w:t>-</w:t>
            </w:r>
          </w:p>
        </w:tc>
        <w:tc>
          <w:tcPr>
            <w:tcW w:w="826" w:type="dxa"/>
            <w:tcBorders/>
            <w:shd w:fill="D5EAEA" w:val="clear"/>
            <w:vAlign w:val="center"/>
          </w:tcPr>
          <w:p>
            <w:pPr>
              <w:pStyle w:val="TableContents"/>
              <w:bidi w:val="0"/>
              <w:spacing w:before="0" w:after="283"/>
              <w:jc w:val="right"/>
              <w:rPr>
                <w:sz w:val="20"/>
              </w:rPr>
            </w:pPr>
            <w:r>
              <w:rPr>
                <w:sz w:val="20"/>
              </w:rPr>
              <w:t>(10,108)</w:t>
            </w:r>
          </w:p>
        </w:tc>
        <w:tc>
          <w:tcPr>
            <w:tcW w:w="843" w:type="dxa"/>
            <w:tcBorders/>
            <w:shd w:fill="D5EAEA" w:val="clear"/>
            <w:vAlign w:val="center"/>
          </w:tcPr>
          <w:p>
            <w:pPr>
              <w:pStyle w:val="TableContents"/>
              <w:bidi w:val="0"/>
              <w:spacing w:before="0" w:after="283"/>
              <w:jc w:val="right"/>
              <w:rPr>
                <w:sz w:val="20"/>
              </w:rPr>
            </w:pPr>
            <w:r>
              <w:rPr>
                <w:sz w:val="20"/>
              </w:rPr>
              <w:t>-</w:t>
            </w:r>
          </w:p>
        </w:tc>
      </w:tr>
      <w:tr>
        <w:trPr/>
        <w:tc>
          <w:tcPr>
            <w:tcW w:w="4790" w:type="dxa"/>
            <w:tcBorders/>
            <w:shd w:fill="FFFFFF" w:val="clear"/>
            <w:vAlign w:val="center"/>
          </w:tcPr>
          <w:p>
            <w:pPr>
              <w:pStyle w:val="TableContents"/>
              <w:bidi w:val="0"/>
              <w:spacing w:before="0" w:after="283"/>
              <w:jc w:val="left"/>
              <w:rPr>
                <w:sz w:val="20"/>
              </w:rPr>
            </w:pPr>
            <w:r>
              <w:rPr>
                <w:sz w:val="20"/>
              </w:rPr>
              <w:t>Consideration payable from acquisition adjustments</w:t>
            </w:r>
          </w:p>
        </w:tc>
        <w:tc>
          <w:tcPr>
            <w:tcW w:w="925" w:type="dxa"/>
            <w:tcBorders/>
            <w:shd w:fill="FFFFFF" w:val="clear"/>
            <w:vAlign w:val="center"/>
          </w:tcPr>
          <w:p>
            <w:pPr>
              <w:pStyle w:val="TableContents"/>
              <w:bidi w:val="0"/>
              <w:spacing w:before="0" w:after="283"/>
              <w:jc w:val="right"/>
              <w:rPr>
                <w:sz w:val="20"/>
              </w:rPr>
            </w:pPr>
            <w:r>
              <w:rPr>
                <w:sz w:val="20"/>
              </w:rPr>
              <w:t>(4,266)</w:t>
            </w:r>
          </w:p>
        </w:tc>
        <w:tc>
          <w:tcPr>
            <w:tcW w:w="925" w:type="dxa"/>
            <w:tcBorders/>
            <w:shd w:fill="FFFFFF" w:val="clear"/>
            <w:vAlign w:val="center"/>
          </w:tcPr>
          <w:p>
            <w:pPr>
              <w:pStyle w:val="TableContents"/>
              <w:bidi w:val="0"/>
              <w:spacing w:before="0" w:after="283"/>
              <w:jc w:val="right"/>
              <w:rPr>
                <w:sz w:val="20"/>
              </w:rPr>
            </w:pPr>
            <w:r>
              <w:rPr>
                <w:sz w:val="20"/>
              </w:rPr>
              <w:t>(4,667)</w:t>
            </w:r>
          </w:p>
        </w:tc>
        <w:tc>
          <w:tcPr>
            <w:tcW w:w="826" w:type="dxa"/>
            <w:tcBorders/>
            <w:shd w:fill="FFFFFF" w:val="clear"/>
            <w:vAlign w:val="center"/>
          </w:tcPr>
          <w:p>
            <w:pPr>
              <w:pStyle w:val="TableContents"/>
              <w:bidi w:val="0"/>
              <w:spacing w:before="0" w:after="283"/>
              <w:jc w:val="right"/>
              <w:rPr>
                <w:sz w:val="20"/>
              </w:rPr>
            </w:pPr>
            <w:r>
              <w:rPr>
                <w:sz w:val="20"/>
              </w:rPr>
              <w:t>(8,648)</w:t>
            </w:r>
          </w:p>
        </w:tc>
        <w:tc>
          <w:tcPr>
            <w:tcW w:w="843" w:type="dxa"/>
            <w:tcBorders/>
            <w:shd w:fill="FFFFFF" w:val="clear"/>
            <w:vAlign w:val="center"/>
          </w:tcPr>
          <w:p>
            <w:pPr>
              <w:pStyle w:val="TableContents"/>
              <w:bidi w:val="0"/>
              <w:spacing w:before="0" w:after="283"/>
              <w:jc w:val="right"/>
              <w:rPr>
                <w:sz w:val="20"/>
              </w:rPr>
            </w:pPr>
            <w:r>
              <w:rPr>
                <w:sz w:val="20"/>
              </w:rPr>
              <w:t>(6,332)</w:t>
            </w:r>
          </w:p>
        </w:tc>
      </w:tr>
      <w:tr>
        <w:trPr/>
        <w:tc>
          <w:tcPr>
            <w:tcW w:w="4790" w:type="dxa"/>
            <w:tcBorders/>
            <w:shd w:fill="D5EAEA" w:val="clear"/>
            <w:vAlign w:val="center"/>
          </w:tcPr>
          <w:p>
            <w:pPr>
              <w:pStyle w:val="TableContents"/>
              <w:bidi w:val="0"/>
              <w:spacing w:before="0" w:after="283"/>
              <w:jc w:val="left"/>
              <w:rPr>
                <w:sz w:val="20"/>
              </w:rPr>
            </w:pPr>
            <w:r>
              <w:rPr>
                <w:sz w:val="20"/>
              </w:rPr>
              <w:t xml:space="preserve">Commission, brokerage and financing expenses </w:t>
            </w:r>
          </w:p>
        </w:tc>
        <w:tc>
          <w:tcPr>
            <w:tcW w:w="925" w:type="dxa"/>
            <w:tcBorders/>
            <w:shd w:fill="D5EAEA" w:val="clear"/>
            <w:vAlign w:val="center"/>
          </w:tcPr>
          <w:p>
            <w:pPr>
              <w:pStyle w:val="TableContents"/>
              <w:bidi w:val="0"/>
              <w:spacing w:before="0" w:after="283"/>
              <w:jc w:val="right"/>
              <w:rPr>
                <w:sz w:val="20"/>
              </w:rPr>
            </w:pPr>
            <w:r>
              <w:rPr>
                <w:sz w:val="20"/>
              </w:rPr>
              <w:t>(428)</w:t>
            </w:r>
          </w:p>
        </w:tc>
        <w:tc>
          <w:tcPr>
            <w:tcW w:w="925" w:type="dxa"/>
            <w:tcBorders/>
            <w:shd w:fill="D5EAEA" w:val="clear"/>
            <w:vAlign w:val="center"/>
          </w:tcPr>
          <w:p>
            <w:pPr>
              <w:pStyle w:val="TableContents"/>
              <w:bidi w:val="0"/>
              <w:spacing w:before="0" w:after="283"/>
              <w:jc w:val="right"/>
              <w:rPr>
                <w:sz w:val="20"/>
              </w:rPr>
            </w:pPr>
            <w:r>
              <w:rPr>
                <w:sz w:val="20"/>
              </w:rPr>
              <w:t>(452)</w:t>
            </w:r>
          </w:p>
        </w:tc>
        <w:tc>
          <w:tcPr>
            <w:tcW w:w="826" w:type="dxa"/>
            <w:tcBorders/>
            <w:shd w:fill="D5EAEA" w:val="clear"/>
            <w:vAlign w:val="center"/>
          </w:tcPr>
          <w:p>
            <w:pPr>
              <w:pStyle w:val="TableContents"/>
              <w:bidi w:val="0"/>
              <w:spacing w:before="0" w:after="283"/>
              <w:jc w:val="right"/>
              <w:rPr>
                <w:sz w:val="20"/>
              </w:rPr>
            </w:pPr>
            <w:r>
              <w:rPr>
                <w:sz w:val="20"/>
              </w:rPr>
              <w:t>(2,628)</w:t>
            </w:r>
          </w:p>
        </w:tc>
        <w:tc>
          <w:tcPr>
            <w:tcW w:w="843" w:type="dxa"/>
            <w:tcBorders/>
            <w:shd w:fill="D5EAEA" w:val="clear"/>
            <w:vAlign w:val="center"/>
          </w:tcPr>
          <w:p>
            <w:pPr>
              <w:pStyle w:val="TableContents"/>
              <w:bidi w:val="0"/>
              <w:spacing w:before="0" w:after="283"/>
              <w:jc w:val="right"/>
              <w:rPr>
                <w:sz w:val="20"/>
              </w:rPr>
            </w:pPr>
            <w:r>
              <w:rPr>
                <w:sz w:val="20"/>
              </w:rPr>
              <w:t>(998)</w:t>
            </w:r>
          </w:p>
        </w:tc>
      </w:tr>
      <w:tr>
        <w:trPr/>
        <w:tc>
          <w:tcPr>
            <w:tcW w:w="4790" w:type="dxa"/>
            <w:tcBorders/>
            <w:shd w:fill="FFFFFF" w:val="clear"/>
            <w:vAlign w:val="center"/>
          </w:tcPr>
          <w:p>
            <w:pPr>
              <w:pStyle w:val="TableContents"/>
              <w:bidi w:val="0"/>
              <w:spacing w:before="0" w:after="283"/>
              <w:jc w:val="left"/>
              <w:rPr>
                <w:sz w:val="20"/>
              </w:rPr>
            </w:pPr>
            <w:r>
              <w:rPr>
                <w:sz w:val="20"/>
              </w:rPr>
              <w:t>Interest on lease liabilities</w:t>
            </w:r>
          </w:p>
        </w:tc>
        <w:tc>
          <w:tcPr>
            <w:tcW w:w="925" w:type="dxa"/>
            <w:tcBorders/>
            <w:shd w:fill="FFFFFF" w:val="clear"/>
            <w:vAlign w:val="center"/>
          </w:tcPr>
          <w:p>
            <w:pPr>
              <w:pStyle w:val="TableContents"/>
              <w:bidi w:val="0"/>
              <w:spacing w:before="0" w:after="283"/>
              <w:jc w:val="right"/>
              <w:rPr>
                <w:sz w:val="20"/>
              </w:rPr>
            </w:pPr>
            <w:r>
              <w:rPr>
                <w:sz w:val="20"/>
              </w:rPr>
              <w:t>(437)</w:t>
            </w:r>
          </w:p>
        </w:tc>
        <w:tc>
          <w:tcPr>
            <w:tcW w:w="925" w:type="dxa"/>
            <w:tcBorders/>
            <w:shd w:fill="FFFFFF" w:val="clear"/>
            <w:vAlign w:val="center"/>
          </w:tcPr>
          <w:p>
            <w:pPr>
              <w:pStyle w:val="TableContents"/>
              <w:bidi w:val="0"/>
              <w:spacing w:before="0" w:after="283"/>
              <w:jc w:val="right"/>
              <w:rPr>
                <w:sz w:val="20"/>
              </w:rPr>
            </w:pPr>
            <w:r>
              <w:rPr>
                <w:sz w:val="20"/>
              </w:rPr>
              <w:t>(491)</w:t>
            </w:r>
          </w:p>
        </w:tc>
        <w:tc>
          <w:tcPr>
            <w:tcW w:w="826" w:type="dxa"/>
            <w:tcBorders/>
            <w:shd w:fill="FFFFFF" w:val="clear"/>
            <w:vAlign w:val="center"/>
          </w:tcPr>
          <w:p>
            <w:pPr>
              <w:pStyle w:val="TableContents"/>
              <w:bidi w:val="0"/>
              <w:spacing w:before="0" w:after="283"/>
              <w:jc w:val="right"/>
              <w:rPr>
                <w:sz w:val="20"/>
              </w:rPr>
            </w:pPr>
            <w:r>
              <w:rPr>
                <w:sz w:val="20"/>
              </w:rPr>
              <w:t>(866)</w:t>
            </w:r>
          </w:p>
        </w:tc>
        <w:tc>
          <w:tcPr>
            <w:tcW w:w="843" w:type="dxa"/>
            <w:tcBorders/>
            <w:shd w:fill="FFFFFF" w:val="clear"/>
            <w:vAlign w:val="center"/>
          </w:tcPr>
          <w:p>
            <w:pPr>
              <w:pStyle w:val="TableContents"/>
              <w:bidi w:val="0"/>
              <w:spacing w:before="0" w:after="283"/>
              <w:jc w:val="right"/>
              <w:rPr>
                <w:sz w:val="20"/>
              </w:rPr>
            </w:pPr>
            <w:r>
              <w:rPr>
                <w:sz w:val="20"/>
              </w:rPr>
              <w:t>(854)</w:t>
            </w:r>
          </w:p>
        </w:tc>
      </w:tr>
      <w:tr>
        <w:trPr/>
        <w:tc>
          <w:tcPr>
            <w:tcW w:w="4790" w:type="dxa"/>
            <w:tcBorders/>
            <w:shd w:fill="D5EAEA" w:val="clear"/>
            <w:vAlign w:val="center"/>
          </w:tcPr>
          <w:p>
            <w:pPr>
              <w:pStyle w:val="TableContents"/>
              <w:bidi w:val="0"/>
              <w:spacing w:before="0" w:after="283"/>
              <w:jc w:val="left"/>
              <w:rPr>
                <w:sz w:val="20"/>
              </w:rPr>
            </w:pPr>
            <w:r>
              <w:rPr>
                <w:sz w:val="20"/>
              </w:rPr>
              <w:t>Interest on loans (refer to note 16)</w:t>
            </w:r>
          </w:p>
        </w:tc>
        <w:tc>
          <w:tcPr>
            <w:tcW w:w="925" w:type="dxa"/>
            <w:tcBorders/>
            <w:shd w:fill="D5EAEA" w:val="clear"/>
            <w:vAlign w:val="center"/>
          </w:tcPr>
          <w:p>
            <w:pPr>
              <w:pStyle w:val="TableContents"/>
              <w:bidi w:val="0"/>
              <w:spacing w:before="0" w:after="283"/>
              <w:jc w:val="right"/>
              <w:rPr>
                <w:sz w:val="20"/>
              </w:rPr>
            </w:pPr>
            <w:r>
              <w:rPr>
                <w:sz w:val="20"/>
              </w:rPr>
              <w:t>(5,005)</w:t>
            </w:r>
          </w:p>
        </w:tc>
        <w:tc>
          <w:tcPr>
            <w:tcW w:w="925" w:type="dxa"/>
            <w:tcBorders/>
            <w:shd w:fill="D5EAEA" w:val="clear"/>
            <w:vAlign w:val="center"/>
          </w:tcPr>
          <w:p>
            <w:pPr>
              <w:pStyle w:val="TableContents"/>
              <w:bidi w:val="0"/>
              <w:spacing w:before="0" w:after="283"/>
              <w:jc w:val="right"/>
              <w:rPr>
                <w:sz w:val="20"/>
              </w:rPr>
            </w:pPr>
            <w:r>
              <w:rPr>
                <w:sz w:val="20"/>
              </w:rPr>
              <w:t>(3,496)</w:t>
            </w:r>
          </w:p>
        </w:tc>
        <w:tc>
          <w:tcPr>
            <w:tcW w:w="826" w:type="dxa"/>
            <w:tcBorders/>
            <w:shd w:fill="D5EAEA" w:val="clear"/>
            <w:vAlign w:val="center"/>
          </w:tcPr>
          <w:p>
            <w:pPr>
              <w:pStyle w:val="TableContents"/>
              <w:bidi w:val="0"/>
              <w:spacing w:before="0" w:after="283"/>
              <w:jc w:val="right"/>
              <w:rPr>
                <w:sz w:val="20"/>
              </w:rPr>
            </w:pPr>
            <w:r>
              <w:rPr>
                <w:sz w:val="20"/>
              </w:rPr>
              <w:t>(8,488)</w:t>
            </w:r>
          </w:p>
        </w:tc>
        <w:tc>
          <w:tcPr>
            <w:tcW w:w="843" w:type="dxa"/>
            <w:tcBorders/>
            <w:shd w:fill="D5EAEA" w:val="clear"/>
            <w:vAlign w:val="center"/>
          </w:tcPr>
          <w:p>
            <w:pPr>
              <w:pStyle w:val="TableContents"/>
              <w:bidi w:val="0"/>
              <w:spacing w:before="0" w:after="283"/>
              <w:jc w:val="right"/>
              <w:rPr>
                <w:sz w:val="20"/>
              </w:rPr>
            </w:pPr>
            <w:r>
              <w:rPr>
                <w:sz w:val="20"/>
              </w:rPr>
              <w:t>(6,978)</w:t>
            </w:r>
          </w:p>
        </w:tc>
      </w:tr>
      <w:tr>
        <w:trPr/>
        <w:tc>
          <w:tcPr>
            <w:tcW w:w="4790" w:type="dxa"/>
            <w:tcBorders/>
            <w:shd w:fill="FFFFFF" w:val="clear"/>
            <w:vAlign w:val="center"/>
          </w:tcPr>
          <w:p>
            <w:pPr>
              <w:pStyle w:val="TableContents"/>
              <w:bidi w:val="0"/>
              <w:spacing w:before="0" w:after="283"/>
              <w:jc w:val="left"/>
              <w:rPr>
                <w:sz w:val="20"/>
              </w:rPr>
            </w:pPr>
            <w:r>
              <w:rPr>
                <w:sz w:val="20"/>
              </w:rPr>
              <w:t>Interest on accounts receivable</w:t>
            </w:r>
          </w:p>
        </w:tc>
        <w:tc>
          <w:tcPr>
            <w:tcW w:w="925" w:type="dxa"/>
            <w:tcBorders/>
            <w:shd w:fill="FFFFFF" w:val="clear"/>
            <w:vAlign w:val="center"/>
          </w:tcPr>
          <w:p>
            <w:pPr>
              <w:pStyle w:val="TableContents"/>
              <w:bidi w:val="0"/>
              <w:spacing w:before="0" w:after="283"/>
              <w:jc w:val="right"/>
              <w:rPr>
                <w:sz w:val="20"/>
              </w:rPr>
            </w:pPr>
            <w:r>
              <w:rPr>
                <w:sz w:val="20"/>
              </w:rPr>
              <w:t>-</w:t>
            </w:r>
          </w:p>
        </w:tc>
        <w:tc>
          <w:tcPr>
            <w:tcW w:w="925" w:type="dxa"/>
            <w:tcBorders/>
            <w:shd w:fill="FFFFFF" w:val="clear"/>
            <w:vAlign w:val="center"/>
          </w:tcPr>
          <w:p>
            <w:pPr>
              <w:pStyle w:val="TableContents"/>
              <w:bidi w:val="0"/>
              <w:spacing w:before="0" w:after="283"/>
              <w:jc w:val="right"/>
              <w:rPr>
                <w:sz w:val="20"/>
              </w:rPr>
            </w:pPr>
            <w:r>
              <w:rPr>
                <w:sz w:val="20"/>
              </w:rPr>
              <w:t>-</w:t>
            </w:r>
          </w:p>
        </w:tc>
        <w:tc>
          <w:tcPr>
            <w:tcW w:w="826" w:type="dxa"/>
            <w:tcBorders/>
            <w:shd w:fill="FFFFFF" w:val="clear"/>
            <w:vAlign w:val="center"/>
          </w:tcPr>
          <w:p>
            <w:pPr>
              <w:pStyle w:val="TableContents"/>
              <w:bidi w:val="0"/>
              <w:spacing w:before="0" w:after="283"/>
              <w:jc w:val="right"/>
              <w:rPr>
                <w:sz w:val="20"/>
              </w:rPr>
            </w:pPr>
            <w:r>
              <w:rPr>
                <w:sz w:val="20"/>
              </w:rPr>
              <w:t>-</w:t>
            </w:r>
          </w:p>
        </w:tc>
        <w:tc>
          <w:tcPr>
            <w:tcW w:w="843" w:type="dxa"/>
            <w:tcBorders/>
            <w:shd w:fill="FFFFFF" w:val="clear"/>
            <w:vAlign w:val="center"/>
          </w:tcPr>
          <w:p>
            <w:pPr>
              <w:pStyle w:val="TableContents"/>
              <w:bidi w:val="0"/>
              <w:spacing w:before="0" w:after="283"/>
              <w:jc w:val="right"/>
              <w:rPr>
                <w:sz w:val="20"/>
              </w:rPr>
            </w:pPr>
            <w:r>
              <w:rPr>
                <w:sz w:val="20"/>
              </w:rPr>
              <w:t>(3,086)</w:t>
            </w:r>
          </w:p>
        </w:tc>
      </w:tr>
      <w:tr>
        <w:trPr/>
        <w:tc>
          <w:tcPr>
            <w:tcW w:w="4790" w:type="dxa"/>
            <w:tcBorders/>
            <w:shd w:fill="D5EAEA" w:val="clear"/>
            <w:vAlign w:val="center"/>
          </w:tcPr>
          <w:p>
            <w:pPr>
              <w:pStyle w:val="TableContents"/>
              <w:bidi w:val="0"/>
              <w:spacing w:before="0" w:after="283"/>
              <w:jc w:val="left"/>
              <w:rPr>
                <w:sz w:val="20"/>
              </w:rPr>
            </w:pPr>
            <w:r>
              <w:rPr>
                <w:sz w:val="20"/>
              </w:rPr>
              <w:t>Interest on asset-backed payable</w:t>
            </w:r>
          </w:p>
        </w:tc>
        <w:tc>
          <w:tcPr>
            <w:tcW w:w="925" w:type="dxa"/>
            <w:tcBorders/>
            <w:shd w:fill="D5EAEA" w:val="clear"/>
            <w:vAlign w:val="center"/>
          </w:tcPr>
          <w:p>
            <w:pPr>
              <w:pStyle w:val="TableContents"/>
              <w:bidi w:val="0"/>
              <w:spacing w:before="0" w:after="283"/>
              <w:jc w:val="right"/>
              <w:rPr>
                <w:sz w:val="20"/>
              </w:rPr>
            </w:pPr>
            <w:r>
              <w:rPr>
                <w:sz w:val="20"/>
              </w:rPr>
              <w:t>(1,115)</w:t>
            </w:r>
          </w:p>
        </w:tc>
        <w:tc>
          <w:tcPr>
            <w:tcW w:w="925" w:type="dxa"/>
            <w:tcBorders/>
            <w:shd w:fill="D5EAEA" w:val="clear"/>
            <w:vAlign w:val="center"/>
          </w:tcPr>
          <w:p>
            <w:pPr>
              <w:pStyle w:val="TableContents"/>
              <w:bidi w:val="0"/>
              <w:spacing w:before="0" w:after="283"/>
              <w:jc w:val="right"/>
              <w:rPr>
                <w:sz w:val="20"/>
              </w:rPr>
            </w:pPr>
            <w:r>
              <w:rPr>
                <w:sz w:val="20"/>
              </w:rPr>
              <w:t>-</w:t>
            </w:r>
          </w:p>
        </w:tc>
        <w:tc>
          <w:tcPr>
            <w:tcW w:w="826" w:type="dxa"/>
            <w:tcBorders/>
            <w:shd w:fill="D5EAEA" w:val="clear"/>
            <w:vAlign w:val="center"/>
          </w:tcPr>
          <w:p>
            <w:pPr>
              <w:pStyle w:val="TableContents"/>
              <w:bidi w:val="0"/>
              <w:spacing w:before="0" w:after="283"/>
              <w:jc w:val="right"/>
              <w:rPr>
                <w:sz w:val="20"/>
              </w:rPr>
            </w:pPr>
            <w:r>
              <w:rPr>
                <w:sz w:val="20"/>
              </w:rPr>
              <w:t>(2,217)</w:t>
            </w:r>
          </w:p>
        </w:tc>
        <w:tc>
          <w:tcPr>
            <w:tcW w:w="843" w:type="dxa"/>
            <w:tcBorders/>
            <w:shd w:fill="D5EAEA" w:val="clear"/>
            <w:vAlign w:val="center"/>
          </w:tcPr>
          <w:p>
            <w:pPr>
              <w:pStyle w:val="TableContents"/>
              <w:bidi w:val="0"/>
              <w:spacing w:before="0" w:after="283"/>
              <w:jc w:val="right"/>
              <w:rPr>
                <w:sz w:val="20"/>
              </w:rPr>
            </w:pPr>
            <w:r>
              <w:rPr>
                <w:sz w:val="20"/>
              </w:rPr>
              <w:t>-</w:t>
            </w:r>
          </w:p>
        </w:tc>
      </w:tr>
      <w:tr>
        <w:trPr/>
        <w:tc>
          <w:tcPr>
            <w:tcW w:w="4790" w:type="dxa"/>
            <w:tcBorders/>
            <w:shd w:fill="FFFFFF" w:val="clear"/>
            <w:vAlign w:val="center"/>
          </w:tcPr>
          <w:p>
            <w:pPr>
              <w:pStyle w:val="TableContents"/>
              <w:bidi w:val="0"/>
              <w:spacing w:before="0" w:after="283"/>
              <w:jc w:val="left"/>
              <w:rPr>
                <w:sz w:val="20"/>
              </w:rPr>
            </w:pPr>
            <w:r>
              <w:rPr>
                <w:sz w:val="20"/>
              </w:rPr>
              <w:t>Gross obligation adjustments (b)</w:t>
            </w:r>
          </w:p>
        </w:tc>
        <w:tc>
          <w:tcPr>
            <w:tcW w:w="925" w:type="dxa"/>
            <w:tcBorders/>
            <w:shd w:fill="FFFFFF" w:val="clear"/>
            <w:vAlign w:val="center"/>
          </w:tcPr>
          <w:p>
            <w:pPr>
              <w:pStyle w:val="TableContents"/>
              <w:bidi w:val="0"/>
              <w:spacing w:before="0" w:after="283"/>
              <w:jc w:val="right"/>
              <w:rPr>
                <w:sz w:val="20"/>
              </w:rPr>
            </w:pPr>
            <w:r>
              <w:rPr>
                <w:sz w:val="20"/>
              </w:rPr>
              <w:t>-</w:t>
            </w:r>
          </w:p>
        </w:tc>
        <w:tc>
          <w:tcPr>
            <w:tcW w:w="925" w:type="dxa"/>
            <w:tcBorders/>
            <w:shd w:fill="FFFFFF" w:val="clear"/>
            <w:vAlign w:val="center"/>
          </w:tcPr>
          <w:p>
            <w:pPr>
              <w:pStyle w:val="TableContents"/>
              <w:bidi w:val="0"/>
              <w:spacing w:before="0" w:after="283"/>
              <w:jc w:val="right"/>
              <w:rPr>
                <w:sz w:val="20"/>
              </w:rPr>
            </w:pPr>
            <w:r>
              <w:rPr>
                <w:sz w:val="20"/>
              </w:rPr>
              <w:t>(831)</w:t>
            </w:r>
          </w:p>
        </w:tc>
        <w:tc>
          <w:tcPr>
            <w:tcW w:w="826" w:type="dxa"/>
            <w:tcBorders/>
            <w:shd w:fill="FFFFFF" w:val="clear"/>
            <w:vAlign w:val="center"/>
          </w:tcPr>
          <w:p>
            <w:pPr>
              <w:pStyle w:val="TableContents"/>
              <w:bidi w:val="0"/>
              <w:spacing w:before="0" w:after="283"/>
              <w:jc w:val="right"/>
              <w:rPr>
                <w:sz w:val="20"/>
              </w:rPr>
            </w:pPr>
            <w:r>
              <w:rPr>
                <w:sz w:val="20"/>
              </w:rPr>
              <w:t>-</w:t>
            </w:r>
          </w:p>
        </w:tc>
        <w:tc>
          <w:tcPr>
            <w:tcW w:w="843" w:type="dxa"/>
            <w:tcBorders/>
            <w:shd w:fill="FFFFFF" w:val="clear"/>
            <w:vAlign w:val="center"/>
          </w:tcPr>
          <w:p>
            <w:pPr>
              <w:pStyle w:val="TableContents"/>
              <w:bidi w:val="0"/>
              <w:spacing w:before="0" w:after="283"/>
              <w:jc w:val="right"/>
              <w:rPr>
                <w:sz w:val="20"/>
              </w:rPr>
            </w:pPr>
            <w:r>
              <w:rPr>
                <w:sz w:val="20"/>
              </w:rPr>
              <w:t>(1,934)</w:t>
            </w:r>
          </w:p>
        </w:tc>
      </w:tr>
      <w:tr>
        <w:trPr/>
        <w:tc>
          <w:tcPr>
            <w:tcW w:w="4790" w:type="dxa"/>
            <w:tcBorders/>
            <w:shd w:fill="D5EAEA" w:val="clear"/>
            <w:vAlign w:val="center"/>
          </w:tcPr>
          <w:p>
            <w:pPr>
              <w:pStyle w:val="TableContents"/>
              <w:bidi w:val="0"/>
              <w:spacing w:before="0" w:after="283"/>
              <w:jc w:val="left"/>
              <w:rPr>
                <w:sz w:val="20"/>
              </w:rPr>
            </w:pPr>
            <w:r>
              <w:rPr>
                <w:sz w:val="20"/>
              </w:rPr>
              <w:t>Foreign exchange losses</w:t>
            </w:r>
          </w:p>
        </w:tc>
        <w:tc>
          <w:tcPr>
            <w:tcW w:w="925" w:type="dxa"/>
            <w:tcBorders/>
            <w:shd w:fill="D5EAEA" w:val="clear"/>
            <w:vAlign w:val="center"/>
          </w:tcPr>
          <w:p>
            <w:pPr>
              <w:pStyle w:val="TableContents"/>
              <w:bidi w:val="0"/>
              <w:spacing w:before="0" w:after="283"/>
              <w:jc w:val="right"/>
              <w:rPr>
                <w:sz w:val="20"/>
              </w:rPr>
            </w:pPr>
            <w:r>
              <w:rPr>
                <w:sz w:val="20"/>
              </w:rPr>
              <w:t>(2,082)</w:t>
            </w:r>
          </w:p>
        </w:tc>
        <w:tc>
          <w:tcPr>
            <w:tcW w:w="925" w:type="dxa"/>
            <w:tcBorders/>
            <w:shd w:fill="D5EAEA" w:val="clear"/>
            <w:vAlign w:val="center"/>
          </w:tcPr>
          <w:p>
            <w:pPr>
              <w:pStyle w:val="TableContents"/>
              <w:bidi w:val="0"/>
              <w:spacing w:before="0" w:after="283"/>
              <w:jc w:val="right"/>
              <w:rPr>
                <w:sz w:val="20"/>
              </w:rPr>
            </w:pPr>
            <w:r>
              <w:rPr>
                <w:sz w:val="20"/>
              </w:rPr>
              <w:t>(609)</w:t>
            </w:r>
          </w:p>
        </w:tc>
        <w:tc>
          <w:tcPr>
            <w:tcW w:w="826" w:type="dxa"/>
            <w:tcBorders/>
            <w:shd w:fill="D5EAEA" w:val="clear"/>
            <w:vAlign w:val="center"/>
          </w:tcPr>
          <w:p>
            <w:pPr>
              <w:pStyle w:val="TableContents"/>
              <w:bidi w:val="0"/>
              <w:spacing w:before="0" w:after="283"/>
              <w:jc w:val="right"/>
              <w:rPr>
                <w:sz w:val="20"/>
              </w:rPr>
            </w:pPr>
            <w:r>
              <w:rPr>
                <w:sz w:val="20"/>
              </w:rPr>
              <w:t>(5,230)</w:t>
            </w:r>
          </w:p>
        </w:tc>
        <w:tc>
          <w:tcPr>
            <w:tcW w:w="843" w:type="dxa"/>
            <w:tcBorders/>
            <w:shd w:fill="D5EAEA" w:val="clear"/>
            <w:vAlign w:val="center"/>
          </w:tcPr>
          <w:p>
            <w:pPr>
              <w:pStyle w:val="TableContents"/>
              <w:bidi w:val="0"/>
              <w:spacing w:before="0" w:after="283"/>
              <w:jc w:val="right"/>
              <w:rPr>
                <w:sz w:val="20"/>
              </w:rPr>
            </w:pPr>
            <w:r>
              <w:rPr>
                <w:sz w:val="20"/>
              </w:rPr>
              <w:t>(1,055)</w:t>
            </w:r>
          </w:p>
        </w:tc>
      </w:tr>
      <w:tr>
        <w:trPr/>
        <w:tc>
          <w:tcPr>
            <w:tcW w:w="4790" w:type="dxa"/>
            <w:tcBorders/>
            <w:shd w:fill="FFFFFF" w:val="clear"/>
            <w:vAlign w:val="center"/>
          </w:tcPr>
          <w:p>
            <w:pPr>
              <w:pStyle w:val="TableContents"/>
              <w:bidi w:val="0"/>
              <w:spacing w:before="0" w:after="283"/>
              <w:jc w:val="left"/>
              <w:rPr>
                <w:sz w:val="20"/>
              </w:rPr>
            </w:pPr>
            <w:r>
              <w:rPr>
                <w:sz w:val="20"/>
              </w:rPr>
              <w:t>Other financial expenses</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(1,108)</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(405)</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(1,961)</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(1,380)</w:t>
            </w:r>
          </w:p>
        </w:tc>
      </w:tr>
      <w:tr>
        <w:trPr/>
        <w:tc>
          <w:tcPr>
            <w:tcW w:w="4790" w:type="dxa"/>
            <w:tcBorders/>
            <w:shd w:fill="D5EAEA" w:val="clear"/>
            <w:vAlign w:val="center"/>
          </w:tcPr>
          <w:p>
            <w:pPr>
              <w:pStyle w:val="TableContents"/>
              <w:bidi w:val="0"/>
              <w:spacing w:before="0" w:after="283"/>
              <w:jc w:val="left"/>
              <w:rPr>
                <w:b/>
                <w:sz w:val="20"/>
              </w:rPr>
            </w:pPr>
            <w:r>
              <w:rPr>
                <w:b/>
                <w:sz w:val="20"/>
              </w:rPr>
              <w:t>Total finance expenses</w:t>
            </w:r>
          </w:p>
        </w:tc>
        <w:tc>
          <w:tcPr>
            <w:tcW w:w="92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(19,020)</w:t>
            </w:r>
          </w:p>
        </w:tc>
        <w:tc>
          <w:tcPr>
            <w:tcW w:w="92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(12,281)</w:t>
            </w:r>
          </w:p>
        </w:tc>
        <w:tc>
          <w:tcPr>
            <w:tcW w:w="826"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(40,750)</w:t>
            </w:r>
          </w:p>
        </w:tc>
        <w:tc>
          <w:tcPr>
            <w:tcW w:w="843"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(30,985)</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35"/>
        <w:gridCol w:w="2195"/>
      </w:tblGrid>
      <w:tr>
        <w:trPr/>
        <w:tc>
          <w:tcPr>
            <w:tcW w:w="335" w:type="dxa"/>
            <w:tcBorders/>
            <w:vAlign w:val="center"/>
          </w:tcPr>
          <w:p>
            <w:pPr>
              <w:pStyle w:val="TableContents"/>
              <w:bidi w:val="0"/>
              <w:spacing w:before="0" w:after="283"/>
              <w:jc w:val="left"/>
              <w:rPr/>
            </w:pPr>
            <w:r>
              <w:rPr/>
              <w:t>28.</w:t>
            </w:r>
          </w:p>
        </w:tc>
        <w:tc>
          <w:tcPr>
            <w:tcW w:w="2195" w:type="dxa"/>
            <w:tcBorders/>
            <w:vAlign w:val="center"/>
          </w:tcPr>
          <w:p>
            <w:pPr>
              <w:pStyle w:val="TableContents"/>
              <w:bidi w:val="0"/>
              <w:spacing w:before="0" w:after="283"/>
              <w:jc w:val="left"/>
              <w:rPr/>
            </w:pPr>
            <w:r>
              <w:rPr/>
              <w:t>Income taxes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entity headquartered in the Cayman Islands, the Company is subject to a tax neutral regime whereas subsidiaries of the Company headquartered in Brazil, Colombia, Chile, the United Kingdom, the United States of America, and Hong Kong are subject to income taxes as set out by local tax laws.</w:t>
      </w:r>
    </w:p>
    <w:p>
      <w:pPr>
        <w:pStyle w:val="TextBody"/>
        <w:bidi w:val="0"/>
        <w:spacing w:before="0" w:after="0"/>
        <w:ind w:left="0" w:right="0" w:hanging="0"/>
        <w:jc w:val="both"/>
        <w:rPr>
          <w:caps w:val="false"/>
          <w:smallCaps w:val="false"/>
        </w:rPr>
      </w:pPr>
      <w:r>
        <w:rPr>
          <w:caps w:val="false"/>
          <w:smallCaps w:val="false"/>
        </w:rPr>
        <w:t> </w:t>
      </w:r>
    </w:p>
    <w:tbl>
      <w:tblPr>
        <w:tblW w:w="7858" w:type="dxa"/>
        <w:jc w:val="center"/>
        <w:tblInd w:w="0" w:type="dxa"/>
        <w:tblLayout w:type="fixed"/>
        <w:tblCellMar>
          <w:top w:w="0" w:type="dxa"/>
          <w:left w:w="0" w:type="dxa"/>
          <w:bottom w:w="0" w:type="dxa"/>
          <w:right w:w="0" w:type="dxa"/>
        </w:tblCellMar>
      </w:tblPr>
      <w:tblGrid>
        <w:gridCol w:w="4430"/>
        <w:gridCol w:w="902"/>
        <w:gridCol w:w="902"/>
        <w:gridCol w:w="895"/>
        <w:gridCol w:w="729"/>
      </w:tblGrid>
      <w:tr>
        <w:trPr/>
        <w:tc>
          <w:tcPr>
            <w:tcW w:w="443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16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Six-month periods</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ended June 30,</w:t>
            </w:r>
            <w:r>
              <w:rPr>
                <w:rFonts w:ascii="Times New Roman;Times;Serif" w:hAnsi="Times New Roman;Times;Serif"/>
                <w:b w:val="false"/>
                <w:i w:val="false"/>
                <w:caps w:val="false"/>
                <w:smallCaps w:val="false"/>
                <w:sz w:val="20"/>
              </w:rPr>
              <w:t> </w:t>
            </w:r>
          </w:p>
        </w:tc>
      </w:tr>
      <w:tr>
        <w:trPr/>
        <w:tc>
          <w:tcPr>
            <w:tcW w:w="443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 xml:space="preserve">Reconciliation of income tax </w:t>
            </w:r>
          </w:p>
        </w:tc>
        <w:tc>
          <w:tcPr>
            <w:tcW w:w="9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90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89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729"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4430" w:type="dxa"/>
            <w:tcBorders/>
            <w:shd w:fill="D5EAEA" w:val="clear"/>
            <w:vAlign w:val="center"/>
          </w:tcPr>
          <w:p>
            <w:pPr>
              <w:pStyle w:val="TableContents"/>
              <w:bidi w:val="0"/>
              <w:spacing w:before="0" w:after="283"/>
              <w:jc w:val="left"/>
              <w:rPr>
                <w:b/>
                <w:sz w:val="20"/>
              </w:rPr>
            </w:pPr>
            <w:r>
              <w:rPr>
                <w:b/>
                <w:sz w:val="20"/>
              </w:rPr>
              <w:t xml:space="preserve">Income before income taxes </w:t>
            </w:r>
          </w:p>
        </w:tc>
        <w:tc>
          <w:tcPr>
            <w:tcW w:w="902" w:type="dxa"/>
            <w:tcBorders/>
            <w:shd w:fill="D5EAEA" w:val="clear"/>
            <w:vAlign w:val="center"/>
          </w:tcPr>
          <w:p>
            <w:pPr>
              <w:pStyle w:val="TableContents"/>
              <w:bidi w:val="0"/>
              <w:spacing w:before="0" w:after="283"/>
              <w:jc w:val="right"/>
              <w:rPr>
                <w:b/>
                <w:sz w:val="20"/>
                <w:u w:val="single"/>
              </w:rPr>
            </w:pPr>
            <w:r>
              <w:rPr>
                <w:b/>
                <w:sz w:val="20"/>
                <w:u w:val="single"/>
              </w:rPr>
              <w:t>16,881</w:t>
            </w:r>
          </w:p>
        </w:tc>
        <w:tc>
          <w:tcPr>
            <w:tcW w:w="902" w:type="dxa"/>
            <w:tcBorders/>
            <w:shd w:fill="D5EAEA" w:val="clear"/>
            <w:vAlign w:val="center"/>
          </w:tcPr>
          <w:p>
            <w:pPr>
              <w:pStyle w:val="TableContents"/>
              <w:bidi w:val="0"/>
              <w:spacing w:before="0" w:after="283"/>
              <w:jc w:val="right"/>
              <w:rPr>
                <w:b/>
                <w:sz w:val="20"/>
                <w:u w:val="single"/>
              </w:rPr>
            </w:pPr>
            <w:r>
              <w:rPr>
                <w:b/>
                <w:sz w:val="20"/>
                <w:u w:val="single"/>
              </w:rPr>
              <w:t>14,950</w:t>
            </w:r>
          </w:p>
        </w:tc>
        <w:tc>
          <w:tcPr>
            <w:tcW w:w="895" w:type="dxa"/>
            <w:tcBorders/>
            <w:shd w:fill="D5EAEA" w:val="clear"/>
            <w:vAlign w:val="center"/>
          </w:tcPr>
          <w:p>
            <w:pPr>
              <w:pStyle w:val="TableContents"/>
              <w:bidi w:val="0"/>
              <w:spacing w:before="0" w:after="283"/>
              <w:jc w:val="right"/>
              <w:rPr>
                <w:b/>
                <w:sz w:val="20"/>
                <w:u w:val="single"/>
              </w:rPr>
            </w:pPr>
            <w:r>
              <w:rPr>
                <w:b/>
                <w:sz w:val="20"/>
                <w:u w:val="single"/>
              </w:rPr>
              <w:t>26,111</w:t>
            </w:r>
          </w:p>
        </w:tc>
        <w:tc>
          <w:tcPr>
            <w:tcW w:w="729" w:type="dxa"/>
            <w:tcBorders/>
            <w:shd w:fill="D5EAEA" w:val="clear"/>
            <w:vAlign w:val="center"/>
          </w:tcPr>
          <w:p>
            <w:pPr>
              <w:pStyle w:val="TableContents"/>
              <w:bidi w:val="0"/>
              <w:spacing w:before="0" w:after="283"/>
              <w:jc w:val="right"/>
              <w:rPr>
                <w:b/>
                <w:sz w:val="20"/>
                <w:u w:val="single"/>
              </w:rPr>
            </w:pPr>
            <w:r>
              <w:rPr>
                <w:b/>
                <w:sz w:val="20"/>
                <w:u w:val="single"/>
              </w:rPr>
              <w:t>29,554</w:t>
            </w:r>
          </w:p>
        </w:tc>
      </w:tr>
      <w:tr>
        <w:trPr/>
        <w:tc>
          <w:tcPr>
            <w:tcW w:w="4430" w:type="dxa"/>
            <w:tcBorders/>
            <w:shd w:fill="FFFFFF" w:val="clear"/>
            <w:vAlign w:val="center"/>
          </w:tcPr>
          <w:p>
            <w:pPr>
              <w:pStyle w:val="TableContents"/>
              <w:bidi w:val="0"/>
              <w:spacing w:before="0" w:after="283"/>
              <w:jc w:val="right"/>
              <w:rPr>
                <w:u w:val="single"/>
              </w:rPr>
            </w:pPr>
            <w:r>
              <w:rPr>
                <w:u w:val="single"/>
              </w:rPr>
              <w:t>   </w:t>
            </w:r>
          </w:p>
        </w:tc>
        <w:tc>
          <w:tcPr>
            <w:tcW w:w="902" w:type="dxa"/>
            <w:tcBorders/>
            <w:shd w:fill="FFFFFF" w:val="clear"/>
            <w:vAlign w:val="center"/>
          </w:tcPr>
          <w:p>
            <w:pPr>
              <w:pStyle w:val="TableContents"/>
              <w:bidi w:val="0"/>
              <w:spacing w:before="0" w:after="283"/>
              <w:jc w:val="right"/>
              <w:rPr/>
            </w:pPr>
            <w:r>
              <w:rPr/>
              <w:t> </w:t>
            </w:r>
          </w:p>
        </w:tc>
        <w:tc>
          <w:tcPr>
            <w:tcW w:w="902" w:type="dxa"/>
            <w:tcBorders/>
            <w:shd w:fill="FFFFFF" w:val="clear"/>
            <w:vAlign w:val="center"/>
          </w:tcPr>
          <w:p>
            <w:pPr>
              <w:pStyle w:val="TableContents"/>
              <w:bidi w:val="0"/>
              <w:spacing w:before="0" w:after="283"/>
              <w:jc w:val="right"/>
              <w:rPr/>
            </w:pPr>
            <w:r>
              <w:rPr/>
              <w:t> </w:t>
            </w:r>
          </w:p>
        </w:tc>
        <w:tc>
          <w:tcPr>
            <w:tcW w:w="895" w:type="dxa"/>
            <w:tcBorders/>
            <w:shd w:fill="FFFFFF" w:val="clear"/>
            <w:vAlign w:val="center"/>
          </w:tcPr>
          <w:p>
            <w:pPr>
              <w:pStyle w:val="TableContents"/>
              <w:bidi w:val="0"/>
              <w:spacing w:before="0" w:after="283"/>
              <w:jc w:val="right"/>
              <w:rPr/>
            </w:pPr>
            <w:r>
              <w:rPr/>
              <w:t> </w:t>
            </w:r>
          </w:p>
        </w:tc>
        <w:tc>
          <w:tcPr>
            <w:tcW w:w="729" w:type="dxa"/>
            <w:tcBorders/>
            <w:shd w:fill="FFFFFF" w:val="clear"/>
            <w:vAlign w:val="center"/>
          </w:tcPr>
          <w:p>
            <w:pPr>
              <w:pStyle w:val="TableContents"/>
              <w:bidi w:val="0"/>
              <w:spacing w:before="0" w:after="283"/>
              <w:jc w:val="right"/>
              <w:rPr/>
            </w:pPr>
            <w:r>
              <w:rPr/>
              <w:t> </w:t>
            </w:r>
          </w:p>
        </w:tc>
      </w:tr>
      <w:tr>
        <w:trPr/>
        <w:tc>
          <w:tcPr>
            <w:tcW w:w="4430" w:type="dxa"/>
            <w:tcBorders/>
            <w:shd w:fill="D5EAEA" w:val="clear"/>
            <w:vAlign w:val="center"/>
          </w:tcPr>
          <w:p>
            <w:pPr>
              <w:pStyle w:val="TableContents"/>
              <w:bidi w:val="0"/>
              <w:spacing w:before="0" w:after="283"/>
              <w:jc w:val="left"/>
              <w:rPr>
                <w:sz w:val="20"/>
              </w:rPr>
            </w:pPr>
            <w:r>
              <w:rPr>
                <w:sz w:val="20"/>
              </w:rPr>
              <w:t>Impact of difference in tax rates of foreign subsidiaries</w:t>
            </w:r>
          </w:p>
        </w:tc>
        <w:tc>
          <w:tcPr>
            <w:tcW w:w="902" w:type="dxa"/>
            <w:tcBorders/>
            <w:shd w:fill="D5EAEA" w:val="clear"/>
            <w:vAlign w:val="center"/>
          </w:tcPr>
          <w:p>
            <w:pPr>
              <w:pStyle w:val="TableContents"/>
              <w:bidi w:val="0"/>
              <w:spacing w:before="0" w:after="283"/>
              <w:jc w:val="right"/>
              <w:rPr>
                <w:sz w:val="20"/>
              </w:rPr>
            </w:pPr>
            <w:r>
              <w:rPr>
                <w:sz w:val="20"/>
              </w:rPr>
              <w:t>(2,272)</w:t>
            </w:r>
          </w:p>
        </w:tc>
        <w:tc>
          <w:tcPr>
            <w:tcW w:w="902" w:type="dxa"/>
            <w:tcBorders/>
            <w:shd w:fill="D5EAEA" w:val="clear"/>
            <w:vAlign w:val="center"/>
          </w:tcPr>
          <w:p>
            <w:pPr>
              <w:pStyle w:val="TableContents"/>
              <w:bidi w:val="0"/>
              <w:spacing w:before="0" w:after="283"/>
              <w:jc w:val="right"/>
              <w:rPr>
                <w:sz w:val="20"/>
              </w:rPr>
            </w:pPr>
            <w:r>
              <w:rPr>
                <w:sz w:val="20"/>
              </w:rPr>
              <w:t>(2,629)</w:t>
            </w:r>
          </w:p>
        </w:tc>
        <w:tc>
          <w:tcPr>
            <w:tcW w:w="895" w:type="dxa"/>
            <w:tcBorders/>
            <w:shd w:fill="D5EAEA" w:val="clear"/>
            <w:vAlign w:val="center"/>
          </w:tcPr>
          <w:p>
            <w:pPr>
              <w:pStyle w:val="TableContents"/>
              <w:bidi w:val="0"/>
              <w:spacing w:before="0" w:after="283"/>
              <w:jc w:val="right"/>
              <w:rPr>
                <w:sz w:val="20"/>
              </w:rPr>
            </w:pPr>
            <w:r>
              <w:rPr>
                <w:sz w:val="20"/>
              </w:rPr>
              <w:t>(6,899)</w:t>
            </w:r>
          </w:p>
        </w:tc>
        <w:tc>
          <w:tcPr>
            <w:tcW w:w="729" w:type="dxa"/>
            <w:tcBorders/>
            <w:shd w:fill="D5EAEA" w:val="clear"/>
            <w:vAlign w:val="center"/>
          </w:tcPr>
          <w:p>
            <w:pPr>
              <w:pStyle w:val="TableContents"/>
              <w:bidi w:val="0"/>
              <w:spacing w:before="0" w:after="283"/>
              <w:jc w:val="right"/>
              <w:rPr>
                <w:sz w:val="20"/>
              </w:rPr>
            </w:pPr>
            <w:r>
              <w:rPr>
                <w:sz w:val="20"/>
              </w:rPr>
              <w:t>(10,142)</w:t>
            </w:r>
          </w:p>
        </w:tc>
      </w:tr>
      <w:tr>
        <w:trPr/>
        <w:tc>
          <w:tcPr>
            <w:tcW w:w="4430" w:type="dxa"/>
            <w:tcBorders/>
            <w:shd w:fill="FFFFFF" w:val="clear"/>
            <w:vAlign w:val="center"/>
          </w:tcPr>
          <w:p>
            <w:pPr>
              <w:pStyle w:val="TableContents"/>
              <w:bidi w:val="0"/>
              <w:spacing w:before="0" w:after="283"/>
              <w:jc w:val="left"/>
              <w:rPr>
                <w:sz w:val="20"/>
              </w:rPr>
            </w:pPr>
            <w:r>
              <w:rPr>
                <w:sz w:val="20"/>
              </w:rPr>
              <w:t>Other</w:t>
            </w:r>
          </w:p>
        </w:tc>
        <w:tc>
          <w:tcPr>
            <w:tcW w:w="902" w:type="dxa"/>
            <w:tcBorders/>
            <w:shd w:fill="FFFFFF" w:val="clear"/>
            <w:vAlign w:val="center"/>
          </w:tcPr>
          <w:p>
            <w:pPr>
              <w:pStyle w:val="TableContents"/>
              <w:bidi w:val="0"/>
              <w:spacing w:before="0" w:after="283"/>
              <w:jc w:val="right"/>
              <w:rPr>
                <w:sz w:val="20"/>
              </w:rPr>
            </w:pPr>
            <w:r>
              <w:rPr>
                <w:sz w:val="20"/>
              </w:rPr>
              <w:t>-</w:t>
            </w:r>
          </w:p>
        </w:tc>
        <w:tc>
          <w:tcPr>
            <w:tcW w:w="902" w:type="dxa"/>
            <w:tcBorders/>
            <w:shd w:fill="FFFFFF" w:val="clear"/>
            <w:vAlign w:val="center"/>
          </w:tcPr>
          <w:p>
            <w:pPr>
              <w:pStyle w:val="TableContents"/>
              <w:bidi w:val="0"/>
              <w:spacing w:before="0" w:after="283"/>
              <w:jc w:val="right"/>
              <w:rPr>
                <w:sz w:val="20"/>
              </w:rPr>
            </w:pPr>
            <w:r>
              <w:rPr>
                <w:sz w:val="20"/>
              </w:rPr>
              <w:t>1,800</w:t>
            </w:r>
          </w:p>
        </w:tc>
        <w:tc>
          <w:tcPr>
            <w:tcW w:w="895" w:type="dxa"/>
            <w:tcBorders/>
            <w:shd w:fill="FFFFFF" w:val="clear"/>
            <w:vAlign w:val="center"/>
          </w:tcPr>
          <w:p>
            <w:pPr>
              <w:pStyle w:val="TableContents"/>
              <w:bidi w:val="0"/>
              <w:spacing w:before="0" w:after="283"/>
              <w:jc w:val="right"/>
              <w:rPr>
                <w:sz w:val="20"/>
              </w:rPr>
            </w:pPr>
            <w:r>
              <w:rPr>
                <w:sz w:val="20"/>
              </w:rPr>
              <w:t>-</w:t>
            </w:r>
          </w:p>
        </w:tc>
        <w:tc>
          <w:tcPr>
            <w:tcW w:w="729" w:type="dxa"/>
            <w:tcBorders/>
            <w:shd w:fill="FFFFFF" w:val="clear"/>
            <w:vAlign w:val="center"/>
          </w:tcPr>
          <w:p>
            <w:pPr>
              <w:pStyle w:val="TableContents"/>
              <w:bidi w:val="0"/>
              <w:spacing w:before="0" w:after="283"/>
              <w:jc w:val="right"/>
              <w:rPr>
                <w:sz w:val="20"/>
              </w:rPr>
            </w:pPr>
            <w:r>
              <w:rPr>
                <w:sz w:val="20"/>
              </w:rPr>
              <w:t>11,267</w:t>
            </w:r>
          </w:p>
        </w:tc>
      </w:tr>
      <w:tr>
        <w:trPr/>
        <w:tc>
          <w:tcPr>
            <w:tcW w:w="4430" w:type="dxa"/>
            <w:tcBorders/>
            <w:shd w:fill="D5EAEA" w:val="clear"/>
            <w:vAlign w:val="center"/>
          </w:tcPr>
          <w:p>
            <w:pPr>
              <w:pStyle w:val="TableContents"/>
              <w:bidi w:val="0"/>
              <w:spacing w:before="0" w:after="283"/>
              <w:jc w:val="left"/>
              <w:rPr/>
            </w:pPr>
            <w:r>
              <w:rPr/>
              <w:t> </w:t>
            </w:r>
          </w:p>
        </w:tc>
        <w:tc>
          <w:tcPr>
            <w:tcW w:w="902" w:type="dxa"/>
            <w:tcBorders/>
            <w:shd w:fill="D5EAEA" w:val="clear"/>
            <w:vAlign w:val="center"/>
          </w:tcPr>
          <w:p>
            <w:pPr>
              <w:pStyle w:val="TableContents"/>
              <w:bidi w:val="0"/>
              <w:spacing w:before="0" w:after="283"/>
              <w:jc w:val="right"/>
              <w:rPr/>
            </w:pPr>
            <w:r>
              <w:rPr/>
              <w:t> </w:t>
            </w:r>
          </w:p>
        </w:tc>
        <w:tc>
          <w:tcPr>
            <w:tcW w:w="902" w:type="dxa"/>
            <w:tcBorders/>
            <w:shd w:fill="D5EAEA" w:val="clear"/>
            <w:vAlign w:val="center"/>
          </w:tcPr>
          <w:p>
            <w:pPr>
              <w:pStyle w:val="TableContents"/>
              <w:bidi w:val="0"/>
              <w:spacing w:before="0" w:after="283"/>
              <w:jc w:val="right"/>
              <w:rPr/>
            </w:pPr>
            <w:r>
              <w:rPr/>
              <w:t> </w:t>
            </w:r>
          </w:p>
        </w:tc>
        <w:tc>
          <w:tcPr>
            <w:tcW w:w="895" w:type="dxa"/>
            <w:tcBorders/>
            <w:shd w:fill="D5EAEA" w:val="clear"/>
            <w:vAlign w:val="center"/>
          </w:tcPr>
          <w:p>
            <w:pPr>
              <w:pStyle w:val="TableContents"/>
              <w:bidi w:val="0"/>
              <w:spacing w:before="0" w:after="283"/>
              <w:jc w:val="right"/>
              <w:rPr/>
            </w:pPr>
            <w:r>
              <w:rPr/>
              <w:t> </w:t>
            </w:r>
          </w:p>
        </w:tc>
        <w:tc>
          <w:tcPr>
            <w:tcW w:w="729" w:type="dxa"/>
            <w:tcBorders/>
            <w:shd w:fill="D5EAEA" w:val="clear"/>
            <w:vAlign w:val="center"/>
          </w:tcPr>
          <w:p>
            <w:pPr>
              <w:pStyle w:val="TableContents"/>
              <w:bidi w:val="0"/>
              <w:spacing w:before="0" w:after="283"/>
              <w:jc w:val="right"/>
              <w:rPr/>
            </w:pPr>
            <w:r>
              <w:rPr/>
              <w:t> </w:t>
            </w:r>
          </w:p>
        </w:tc>
      </w:tr>
      <w:tr>
        <w:trPr/>
        <w:tc>
          <w:tcPr>
            <w:tcW w:w="4430" w:type="dxa"/>
            <w:tcBorders/>
            <w:shd w:fill="FFFFFF" w:val="clear"/>
            <w:vAlign w:val="center"/>
          </w:tcPr>
          <w:p>
            <w:pPr>
              <w:pStyle w:val="TableContents"/>
              <w:bidi w:val="0"/>
              <w:spacing w:before="0" w:after="283"/>
              <w:jc w:val="left"/>
              <w:rPr>
                <w:sz w:val="20"/>
              </w:rPr>
            </w:pPr>
            <w:r>
              <w:rPr>
                <w:b/>
                <w:sz w:val="20"/>
              </w:rPr>
              <w:t xml:space="preserve">Total income taxes </w:t>
            </w:r>
            <w:r>
              <w:rPr>
                <w:sz w:val="20"/>
              </w:rPr>
              <w:t>(a)</w:t>
            </w:r>
          </w:p>
        </w:tc>
        <w:tc>
          <w:tcPr>
            <w:tcW w:w="902" w:type="dxa"/>
            <w:tcBorders/>
            <w:shd w:fill="FFFFFF" w:val="clear"/>
            <w:vAlign w:val="center"/>
          </w:tcPr>
          <w:p>
            <w:pPr>
              <w:pStyle w:val="TableContents"/>
              <w:bidi w:val="0"/>
              <w:spacing w:before="0" w:after="283"/>
              <w:jc w:val="right"/>
              <w:rPr>
                <w:b/>
                <w:sz w:val="20"/>
                <w:u w:val="single"/>
              </w:rPr>
            </w:pPr>
            <w:r>
              <w:rPr>
                <w:b/>
                <w:sz w:val="20"/>
                <w:u w:val="single"/>
              </w:rPr>
              <w:t>(2,272)</w:t>
            </w:r>
          </w:p>
        </w:tc>
        <w:tc>
          <w:tcPr>
            <w:tcW w:w="902" w:type="dxa"/>
            <w:tcBorders/>
            <w:shd w:fill="FFFFFF" w:val="clear"/>
            <w:vAlign w:val="center"/>
          </w:tcPr>
          <w:p>
            <w:pPr>
              <w:pStyle w:val="TableContents"/>
              <w:bidi w:val="0"/>
              <w:spacing w:before="0" w:after="283"/>
              <w:jc w:val="right"/>
              <w:rPr>
                <w:b/>
                <w:sz w:val="20"/>
                <w:u w:val="single"/>
              </w:rPr>
            </w:pPr>
            <w:r>
              <w:rPr>
                <w:b/>
                <w:sz w:val="20"/>
                <w:u w:val="single"/>
              </w:rPr>
              <w:t>(829)</w:t>
            </w:r>
          </w:p>
        </w:tc>
        <w:tc>
          <w:tcPr>
            <w:tcW w:w="895" w:type="dxa"/>
            <w:tcBorders/>
            <w:shd w:fill="FFFFFF" w:val="clear"/>
            <w:vAlign w:val="center"/>
          </w:tcPr>
          <w:p>
            <w:pPr>
              <w:pStyle w:val="TableContents"/>
              <w:bidi w:val="0"/>
              <w:spacing w:before="0" w:after="283"/>
              <w:jc w:val="right"/>
              <w:rPr>
                <w:b/>
                <w:sz w:val="20"/>
                <w:u w:val="single"/>
              </w:rPr>
            </w:pPr>
            <w:r>
              <w:rPr>
                <w:b/>
                <w:sz w:val="20"/>
                <w:u w:val="single"/>
              </w:rPr>
              <w:t>(6,899)</w:t>
            </w:r>
          </w:p>
        </w:tc>
        <w:tc>
          <w:tcPr>
            <w:tcW w:w="729" w:type="dxa"/>
            <w:tcBorders/>
            <w:shd w:fill="FFFFFF" w:val="clear"/>
            <w:vAlign w:val="center"/>
          </w:tcPr>
          <w:p>
            <w:pPr>
              <w:pStyle w:val="TableContents"/>
              <w:bidi w:val="0"/>
              <w:spacing w:before="0" w:after="283"/>
              <w:jc w:val="right"/>
              <w:rPr>
                <w:b/>
                <w:sz w:val="20"/>
                <w:u w:val="single"/>
              </w:rPr>
            </w:pPr>
            <w:r>
              <w:rPr>
                <w:b/>
                <w:sz w:val="20"/>
                <w:u w:val="single"/>
              </w:rPr>
              <w:t>1,125</w:t>
            </w:r>
          </w:p>
        </w:tc>
      </w:tr>
      <w:tr>
        <w:trPr/>
        <w:tc>
          <w:tcPr>
            <w:tcW w:w="4430" w:type="dxa"/>
            <w:tcBorders/>
            <w:shd w:fill="D5EAEA" w:val="clear"/>
            <w:vAlign w:val="center"/>
          </w:tcPr>
          <w:p>
            <w:pPr>
              <w:pStyle w:val="TableContents"/>
              <w:bidi w:val="0"/>
              <w:spacing w:before="0" w:after="283"/>
              <w:ind w:left="0" w:right="0" w:firstLine="180"/>
              <w:jc w:val="left"/>
              <w:rPr>
                <w:sz w:val="20"/>
              </w:rPr>
            </w:pPr>
            <w:r>
              <w:rPr>
                <w:sz w:val="20"/>
              </w:rPr>
              <w:t xml:space="preserve">Current </w:t>
            </w:r>
          </w:p>
        </w:tc>
        <w:tc>
          <w:tcPr>
            <w:tcW w:w="902" w:type="dxa"/>
            <w:tcBorders/>
            <w:shd w:fill="D5EAEA" w:val="clear"/>
            <w:vAlign w:val="center"/>
          </w:tcPr>
          <w:p>
            <w:pPr>
              <w:pStyle w:val="TableContents"/>
              <w:bidi w:val="0"/>
              <w:spacing w:before="0" w:after="283"/>
              <w:ind w:left="0" w:right="0" w:firstLine="180"/>
              <w:jc w:val="right"/>
              <w:rPr>
                <w:sz w:val="20"/>
              </w:rPr>
            </w:pPr>
            <w:r>
              <w:rPr>
                <w:sz w:val="20"/>
              </w:rPr>
              <w:t>(6,192)</w:t>
            </w:r>
          </w:p>
        </w:tc>
        <w:tc>
          <w:tcPr>
            <w:tcW w:w="902" w:type="dxa"/>
            <w:tcBorders/>
            <w:shd w:fill="D5EAEA" w:val="clear"/>
            <w:vAlign w:val="center"/>
          </w:tcPr>
          <w:p>
            <w:pPr>
              <w:pStyle w:val="TableContents"/>
              <w:bidi w:val="0"/>
              <w:spacing w:before="0" w:after="283"/>
              <w:ind w:left="0" w:right="0" w:firstLine="180"/>
              <w:jc w:val="right"/>
              <w:rPr>
                <w:sz w:val="20"/>
              </w:rPr>
            </w:pPr>
            <w:r>
              <w:rPr>
                <w:sz w:val="20"/>
              </w:rPr>
              <w:t>(3,410)</w:t>
            </w:r>
          </w:p>
        </w:tc>
        <w:tc>
          <w:tcPr>
            <w:tcW w:w="895" w:type="dxa"/>
            <w:tcBorders/>
            <w:shd w:fill="D5EAEA" w:val="clear"/>
            <w:vAlign w:val="center"/>
          </w:tcPr>
          <w:p>
            <w:pPr>
              <w:pStyle w:val="TableContents"/>
              <w:bidi w:val="0"/>
              <w:spacing w:before="0" w:after="283"/>
              <w:ind w:left="0" w:right="0" w:firstLine="180"/>
              <w:jc w:val="right"/>
              <w:rPr>
                <w:sz w:val="20"/>
              </w:rPr>
            </w:pPr>
            <w:r>
              <w:rPr>
                <w:sz w:val="20"/>
              </w:rPr>
              <w:t>(11,552)</w:t>
            </w:r>
          </w:p>
        </w:tc>
        <w:tc>
          <w:tcPr>
            <w:tcW w:w="729" w:type="dxa"/>
            <w:tcBorders/>
            <w:shd w:fill="D5EAEA" w:val="clear"/>
            <w:vAlign w:val="center"/>
          </w:tcPr>
          <w:p>
            <w:pPr>
              <w:pStyle w:val="TableContents"/>
              <w:bidi w:val="0"/>
              <w:spacing w:before="0" w:after="283"/>
              <w:jc w:val="right"/>
              <w:rPr>
                <w:sz w:val="20"/>
              </w:rPr>
            </w:pPr>
            <w:r>
              <w:rPr>
                <w:sz w:val="20"/>
              </w:rPr>
              <w:t>(7,605)</w:t>
            </w:r>
          </w:p>
        </w:tc>
      </w:tr>
      <w:tr>
        <w:trPr/>
        <w:tc>
          <w:tcPr>
            <w:tcW w:w="4430" w:type="dxa"/>
            <w:tcBorders/>
            <w:shd w:fill="FFFFFF" w:val="clear"/>
            <w:vAlign w:val="center"/>
          </w:tcPr>
          <w:p>
            <w:pPr>
              <w:pStyle w:val="TableContents"/>
              <w:bidi w:val="0"/>
              <w:spacing w:before="0" w:after="283"/>
              <w:ind w:left="0" w:right="0" w:firstLine="180"/>
              <w:jc w:val="left"/>
              <w:rPr>
                <w:sz w:val="20"/>
              </w:rPr>
            </w:pPr>
            <w:r>
              <w:rPr>
                <w:sz w:val="20"/>
              </w:rPr>
              <w:t>Deferred (b)</w:t>
            </w:r>
          </w:p>
        </w:tc>
        <w:tc>
          <w:tcPr>
            <w:tcW w:w="902" w:type="dxa"/>
            <w:tcBorders/>
            <w:shd w:fill="FFFFFF" w:val="clear"/>
            <w:vAlign w:val="center"/>
          </w:tcPr>
          <w:p>
            <w:pPr>
              <w:pStyle w:val="TableContents"/>
              <w:bidi w:val="0"/>
              <w:spacing w:before="0" w:after="283"/>
              <w:ind w:left="0" w:right="0" w:firstLine="180"/>
              <w:jc w:val="right"/>
              <w:rPr>
                <w:sz w:val="20"/>
              </w:rPr>
            </w:pPr>
            <w:r>
              <w:rPr>
                <w:sz w:val="20"/>
              </w:rPr>
              <w:t>3,920</w:t>
            </w:r>
          </w:p>
        </w:tc>
        <w:tc>
          <w:tcPr>
            <w:tcW w:w="902" w:type="dxa"/>
            <w:tcBorders/>
            <w:shd w:fill="FFFFFF" w:val="clear"/>
            <w:vAlign w:val="center"/>
          </w:tcPr>
          <w:p>
            <w:pPr>
              <w:pStyle w:val="TableContents"/>
              <w:bidi w:val="0"/>
              <w:spacing w:before="0" w:after="283"/>
              <w:ind w:left="0" w:right="0" w:firstLine="180"/>
              <w:jc w:val="right"/>
              <w:rPr>
                <w:sz w:val="20"/>
              </w:rPr>
            </w:pPr>
            <w:r>
              <w:rPr>
                <w:sz w:val="20"/>
              </w:rPr>
              <w:t>2,581</w:t>
            </w:r>
          </w:p>
        </w:tc>
        <w:tc>
          <w:tcPr>
            <w:tcW w:w="895" w:type="dxa"/>
            <w:tcBorders/>
            <w:shd w:fill="FFFFFF" w:val="clear"/>
            <w:vAlign w:val="center"/>
          </w:tcPr>
          <w:p>
            <w:pPr>
              <w:pStyle w:val="TableContents"/>
              <w:bidi w:val="0"/>
              <w:spacing w:before="0" w:after="283"/>
              <w:ind w:left="0" w:right="0" w:firstLine="180"/>
              <w:jc w:val="right"/>
              <w:rPr>
                <w:sz w:val="20"/>
              </w:rPr>
            </w:pPr>
            <w:r>
              <w:rPr>
                <w:sz w:val="20"/>
              </w:rPr>
              <w:t>4,653</w:t>
            </w:r>
          </w:p>
        </w:tc>
        <w:tc>
          <w:tcPr>
            <w:tcW w:w="729" w:type="dxa"/>
            <w:tcBorders/>
            <w:shd w:fill="FFFFFF" w:val="clear"/>
            <w:vAlign w:val="center"/>
          </w:tcPr>
          <w:p>
            <w:pPr>
              <w:pStyle w:val="TableContents"/>
              <w:bidi w:val="0"/>
              <w:spacing w:before="0" w:after="283"/>
              <w:jc w:val="right"/>
              <w:rPr>
                <w:sz w:val="20"/>
              </w:rPr>
            </w:pPr>
            <w:r>
              <w:rPr>
                <w:sz w:val="20"/>
              </w:rPr>
              <w:t>8,730</w:t>
            </w:r>
          </w:p>
        </w:tc>
      </w:tr>
      <w:tr>
        <w:trPr/>
        <w:tc>
          <w:tcPr>
            <w:tcW w:w="4430" w:type="dxa"/>
            <w:tcBorders>
              <w:bottom w:val="double" w:sz="6" w:space="0" w:color="000000"/>
            </w:tcBorders>
            <w:shd w:fill="D5EAEA" w:val="clear"/>
            <w:tcMar>
              <w:bottom w:w="28" w:type="dxa"/>
            </w:tcMar>
            <w:vAlign w:val="center"/>
          </w:tcPr>
          <w:p>
            <w:pPr>
              <w:pStyle w:val="TableContents"/>
              <w:bidi w:val="0"/>
              <w:spacing w:before="0" w:after="283"/>
              <w:jc w:val="left"/>
              <w:rPr>
                <w:b/>
                <w:sz w:val="20"/>
              </w:rPr>
            </w:pPr>
            <w:r>
              <w:rPr>
                <w:b/>
                <w:sz w:val="20"/>
              </w:rPr>
              <w:t>Effective tax rate - total</w:t>
            </w:r>
          </w:p>
        </w:tc>
        <w:tc>
          <w:tcPr>
            <w:tcW w:w="902"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(13.5%)</w:t>
            </w:r>
          </w:p>
        </w:tc>
        <w:tc>
          <w:tcPr>
            <w:tcW w:w="902"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(5.5%)</w:t>
            </w:r>
          </w:p>
        </w:tc>
        <w:tc>
          <w:tcPr>
            <w:tcW w:w="89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(26.4%)</w:t>
            </w:r>
          </w:p>
        </w:tc>
        <w:tc>
          <w:tcPr>
            <w:tcW w:w="729"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3.8%</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371"/>
        <w:gridCol w:w="9783"/>
      </w:tblGrid>
      <w:tr>
        <w:trPr/>
        <w:tc>
          <w:tcPr>
            <w:tcW w:w="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(a)</w:t>
            </w:r>
          </w:p>
        </w:tc>
        <w:tc>
          <w:tcPr>
            <w:tcW w:w="9783" w:type="dxa"/>
            <w:tcBorders/>
            <w:vAlign w:val="center"/>
          </w:tcPr>
          <w:p>
            <w:pPr>
              <w:pStyle w:val="TableContents"/>
              <w:bidi w:val="0"/>
              <w:spacing w:before="0" w:after="283"/>
              <w:jc w:val="both"/>
              <w:rPr/>
            </w:pPr>
            <w:r>
              <w:rPr/>
              <w:t>No amounts related to income taxes have been recognized directly in equity.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both"/>
              <w:rPr/>
            </w:pPr>
            <w:r>
              <w:rPr/>
              <w:t>Refer to note 19 for a breakdown in deferred tax movements for the six-month periods ended June 30, 2026, and June 30,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Tax Reform – Pillar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International Tax Reform - Pillar Two Model Rules, also referred to as the "Global Anti-Base Erosion" or "GloBE" Rules, was released by the Organization for Economic Co-operation and Development (OECD) on December 20, 2021. Delegates from all Inclusive Framework (IF) member jurisdictions developed the rules, and over 135 jurisdictions agreed to update the international tax system, considering it was no longer fit for purpose in a globalized and digitalized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Pillar Two Rules aim to ensure that large multinational enterprises with consolidated revenues of EUR 750 million or more in at least two of the last four years pay a minimum effective corporate tax rate of 15% on income arising in each jurisdiction with revenue-generating activities. The means by which GloBE must be incorporated into domestic law is determined by each implementing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ending June 30, 2026, the Company has not incurred any top-up tax, considering it did not meet the requirements to be classified as a large multinational enterprise. The global revenues accounted for under IFRS have not exceeded EUR 750 million in at least two of the last four years, and the Company also does not expect to exceed the mentioned threshold in the 2026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Company operates in multiple jurisdictions (Uruguay, Brazil, Cayman Islands, Chile, Colombia, Argentina, Hong Kong, the United States of America, and the United Kingdom), and the application of the Pillar Two rules requires jurisdictions to enact legislation to apply the Pillar Two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Transfer pricing and related tax considerations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jurisdictions in which the Company operate have enacted rules on transfer pricing that require intragroup transactions to be conducted on arm’s-length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regularly obtains advice regarding,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transfer </w:t>
      </w:r>
      <w:r>
        <w:rPr>
          <w:rFonts w:ascii="Times New Roman;Times;Serif" w:hAnsi="Times New Roman;Times;Serif"/>
          <w:b w:val="false"/>
          <w:i w:val="false"/>
          <w:caps w:val="false"/>
          <w:smallCaps w:val="false"/>
          <w:sz w:val="20"/>
          <w:shd w:fill="FFFFFF" w:val="clear"/>
        </w:rPr>
        <w:t>pricing from external tax advisors to ensure that transactions conducted between and among subsidiaries, including, but not limited to, provision of marketing, investor relations, investment advisory and business support services, are made on a commercial basis and consistent with the arm’s length principle as set forth under the Transfer Pricing Guidelines for Multinational Enterprises and Tax Administrations issued by the Organization for Economic Co-Operation and Development (the “OECD Guidelines”), as well as local legislation of the entities involved in the controlled transactions.</w:t>
      </w:r>
    </w:p>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335"/>
        <w:gridCol w:w="665"/>
      </w:tblGrid>
      <w:tr>
        <w:trPr/>
        <w:tc>
          <w:tcPr>
            <w:tcW w:w="335" w:type="dxa"/>
            <w:tcBorders/>
            <w:vAlign w:val="center"/>
          </w:tcPr>
          <w:p>
            <w:pPr>
              <w:pStyle w:val="TableContents"/>
              <w:bidi w:val="0"/>
              <w:spacing w:before="0" w:after="283"/>
              <w:jc w:val="left"/>
              <w:rPr/>
            </w:pPr>
            <w:r>
              <w:rPr/>
              <w:t>29.</w:t>
            </w:r>
          </w:p>
        </w:tc>
        <w:tc>
          <w:tcPr>
            <w:tcW w:w="665" w:type="dxa"/>
            <w:tcBorders/>
            <w:vAlign w:val="center"/>
          </w:tcPr>
          <w:p>
            <w:pPr>
              <w:pStyle w:val="TableContents"/>
              <w:bidi w:val="0"/>
              <w:spacing w:before="0" w:after="283"/>
              <w:jc w:val="left"/>
              <w:rPr/>
            </w:pPr>
            <w:r>
              <w:rPr/>
              <w:t>Equity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2"/>
        <w:gridCol w:w="2772"/>
        <w:gridCol w:w="7071"/>
      </w:tblGrid>
      <w:tr>
        <w:trPr/>
        <w:tc>
          <w:tcPr>
            <w:tcW w:w="36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i/>
              </w:rPr>
            </w:pPr>
            <w:r>
              <w:rPr>
                <w:i/>
              </w:rPr>
              <w:t>(</w:t>
            </w:r>
            <w:r>
              <w:rPr>
                <w:i/>
                <w:caps w:val="false"/>
                <w:smallCaps w:val="false"/>
              </w:rPr>
              <w:t>a</w:t>
            </w:r>
            <w:r>
              <w:rPr>
                <w:i/>
              </w:rPr>
              <w:t>)</w:t>
            </w:r>
          </w:p>
        </w:tc>
        <w:tc>
          <w:tcPr>
            <w:tcW w:w="7071" w:type="dxa"/>
            <w:tcBorders/>
            <w:vAlign w:val="center"/>
          </w:tcPr>
          <w:p>
            <w:pPr>
              <w:pStyle w:val="TableContents"/>
              <w:bidi w:val="0"/>
              <w:spacing w:before="0" w:after="283"/>
              <w:jc w:val="left"/>
              <w:rPr>
                <w:i/>
                <w:caps w:val="false"/>
                <w:smallCaps w:val="false"/>
              </w:rPr>
            </w:pPr>
            <w:r>
              <w:rPr>
                <w:i/>
                <w:caps w:val="false"/>
                <w:smallCaps w:val="false"/>
              </w:rPr>
              <w:t>Capital</w:t>
              <w:tab/>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Memorandum and Articles of Association (“Articles of Association”) authorizes the issuance of up to US$100,000, consisting of 1,000,000,000 shares of par value US$0.0001. Of those authorized shares, (i) 500,000,000 are designated as Class A common shares, (ii) 250,000,000 are designated as Class B common shares, and (iii) 250,000,000 are undesignated as yet and may be issued as common shares or shares with preferred rights. Class B common shares are entitled to 10 votes per share and Class A common shares are entitled to one vote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a total of 163,422,955 common shares issued and outstanding, of which 70,477,525 are Class A common shares and 92,945,430 are Class B common shares. As at the period ending June 30, 2026, Patria holds 892,874 Class A shares as treasury shares, resulting in a total of 162,530,081 common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Class B common shares are convertible at any time as follows: (1) at the option of the holder, a Class B common share may be converted at any time into one Class A common share or (2) upon the election of the holders of a majority of the then-outstanding Class B common shares, all outstanding Class B common shares may be converted into the same quantity of Class A common shares. In addition, each Class B common share will convert automatically into one Class A common share upon any transfer, whether for value or no value, except for certain transfers described in the Articles of Association. Furthermore, each Class B common share will convert automatically into one Class A common share, and no Class B common shares will be issued thereafter if, at any time, the total number of the issued and outstanding Class B common shares is less than 10% of the total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Moneda business combination, Moneda’s former partners have entered into a Moneda Lock-Up Agreement restricting them from selling any shares held by them, disclosing their intention to sell any shares held by them, converting Class B common shares into Class A common shares, entering into any derivative transactions or making any demand for the registration of any shares held by them. These restrictions are in place from the fifth anniversary of the Moneda acquisition's closing date (December 01, 2021) until the earlier of (a) the Moneda former partner's termination of employment with the Company or its affiliates, and (b) the 60th day after the expiration of the relevant tax statute of limitations for 50% of the relevant collateral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issued share capital was distributed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95" w:type="dxa"/>
        <w:jc w:val="center"/>
        <w:tblInd w:w="0" w:type="dxa"/>
        <w:tblLayout w:type="fixed"/>
        <w:tblCellMar>
          <w:top w:w="0" w:type="dxa"/>
          <w:left w:w="0" w:type="dxa"/>
          <w:bottom w:w="0" w:type="dxa"/>
          <w:right w:w="0" w:type="dxa"/>
        </w:tblCellMar>
      </w:tblPr>
      <w:tblGrid>
        <w:gridCol w:w="650"/>
        <w:gridCol w:w="1055"/>
        <w:gridCol w:w="1160"/>
        <w:gridCol w:w="1055"/>
        <w:gridCol w:w="1175"/>
      </w:tblGrid>
      <w:tr>
        <w:trPr/>
        <w:tc>
          <w:tcPr>
            <w:tcW w:w="650" w:type="dxa"/>
            <w:tcBorders/>
            <w:vAlign w:val="center"/>
          </w:tcPr>
          <w:p>
            <w:pPr>
              <w:pStyle w:val="TableContents"/>
              <w:bidi w:val="0"/>
              <w:spacing w:before="0" w:after="283"/>
              <w:jc w:val="left"/>
              <w:rPr/>
            </w:pPr>
            <w:r>
              <w:rPr/>
              <w:t> </w:t>
            </w:r>
          </w:p>
        </w:tc>
        <w:tc>
          <w:tcPr>
            <w:tcW w:w="22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22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r>
      <w:tr>
        <w:trPr/>
        <w:tc>
          <w:tcPr>
            <w:tcW w:w="65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Shares</w:t>
            </w:r>
          </w:p>
        </w:tc>
        <w:tc>
          <w:tcPr>
            <w:tcW w:w="116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Capital (US$)</w:t>
            </w:r>
          </w:p>
        </w:tc>
        <w:tc>
          <w:tcPr>
            <w:tcW w:w="10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Shares</w:t>
            </w:r>
          </w:p>
        </w:tc>
        <w:tc>
          <w:tcPr>
            <w:tcW w:w="117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Capital (US$)</w:t>
            </w:r>
          </w:p>
        </w:tc>
      </w:tr>
      <w:tr>
        <w:trPr/>
        <w:tc>
          <w:tcPr>
            <w:tcW w:w="650" w:type="dxa"/>
            <w:tcBorders/>
            <w:shd w:fill="D5EAEA" w:val="clear"/>
            <w:vAlign w:val="center"/>
          </w:tcPr>
          <w:p>
            <w:pPr>
              <w:pStyle w:val="TableContents"/>
              <w:bidi w:val="0"/>
              <w:spacing w:before="0" w:after="283"/>
              <w:jc w:val="left"/>
              <w:rPr>
                <w:b/>
                <w:sz w:val="20"/>
              </w:rPr>
            </w:pPr>
            <w:r>
              <w:rPr>
                <w:b/>
                <w:sz w:val="20"/>
              </w:rPr>
              <w:t xml:space="preserve">Total </w:t>
            </w:r>
          </w:p>
        </w:tc>
        <w:tc>
          <w:tcPr>
            <w:tcW w:w="1055" w:type="dxa"/>
            <w:tcBorders/>
            <w:shd w:fill="D5EAEA" w:val="clear"/>
            <w:vAlign w:val="center"/>
          </w:tcPr>
          <w:p>
            <w:pPr>
              <w:pStyle w:val="TableContents"/>
              <w:bidi w:val="0"/>
              <w:spacing w:before="0" w:after="283"/>
              <w:jc w:val="right"/>
              <w:rPr>
                <w:b/>
                <w:sz w:val="20"/>
              </w:rPr>
            </w:pPr>
            <w:r>
              <w:rPr>
                <w:b/>
                <w:sz w:val="20"/>
              </w:rPr>
              <w:t>162,530,081</w:t>
            </w:r>
          </w:p>
        </w:tc>
        <w:tc>
          <w:tcPr>
            <w:tcW w:w="1160" w:type="dxa"/>
            <w:tcBorders/>
            <w:shd w:fill="D5EAEA" w:val="clear"/>
            <w:vAlign w:val="center"/>
          </w:tcPr>
          <w:p>
            <w:pPr>
              <w:pStyle w:val="TableContents"/>
              <w:bidi w:val="0"/>
              <w:spacing w:before="0" w:after="283"/>
              <w:jc w:val="right"/>
              <w:rPr>
                <w:b/>
                <w:sz w:val="20"/>
              </w:rPr>
            </w:pPr>
            <w:r>
              <w:rPr>
                <w:b/>
                <w:sz w:val="20"/>
              </w:rPr>
              <w:t>16,253</w:t>
            </w:r>
          </w:p>
        </w:tc>
        <w:tc>
          <w:tcPr>
            <w:tcW w:w="1055" w:type="dxa"/>
            <w:tcBorders/>
            <w:shd w:fill="D5EAEA" w:val="clear"/>
            <w:vAlign w:val="center"/>
          </w:tcPr>
          <w:p>
            <w:pPr>
              <w:pStyle w:val="TableContents"/>
              <w:bidi w:val="0"/>
              <w:spacing w:before="0" w:after="283"/>
              <w:jc w:val="right"/>
              <w:rPr>
                <w:b/>
                <w:sz w:val="20"/>
              </w:rPr>
            </w:pPr>
            <w:r>
              <w:rPr>
                <w:b/>
                <w:sz w:val="20"/>
              </w:rPr>
              <w:t>159,468,552</w:t>
            </w:r>
          </w:p>
        </w:tc>
        <w:tc>
          <w:tcPr>
            <w:tcW w:w="1175" w:type="dxa"/>
            <w:tcBorders/>
            <w:shd w:fill="D5EAEA" w:val="clear"/>
            <w:vAlign w:val="center"/>
          </w:tcPr>
          <w:p>
            <w:pPr>
              <w:pStyle w:val="TableContents"/>
              <w:bidi w:val="0"/>
              <w:spacing w:before="0" w:after="283"/>
              <w:jc w:val="right"/>
              <w:rPr>
                <w:b/>
                <w:sz w:val="20"/>
              </w:rPr>
            </w:pPr>
            <w:r>
              <w:rPr>
                <w:b/>
                <w:sz w:val="20"/>
              </w:rPr>
              <w:t>15,947</w:t>
            </w:r>
          </w:p>
        </w:tc>
      </w:tr>
      <w:tr>
        <w:trPr/>
        <w:tc>
          <w:tcPr>
            <w:tcW w:w="650" w:type="dxa"/>
            <w:tcBorders/>
            <w:shd w:fill="FFFFFF" w:val="clear"/>
            <w:vAlign w:val="center"/>
          </w:tcPr>
          <w:p>
            <w:pPr>
              <w:pStyle w:val="TableContents"/>
              <w:bidi w:val="0"/>
              <w:spacing w:before="0" w:after="283"/>
              <w:jc w:val="left"/>
              <w:rPr>
                <w:sz w:val="20"/>
              </w:rPr>
            </w:pPr>
            <w:r>
              <w:rPr>
                <w:sz w:val="20"/>
              </w:rPr>
              <w:t>Class A</w:t>
            </w:r>
          </w:p>
        </w:tc>
        <w:tc>
          <w:tcPr>
            <w:tcW w:w="10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69,584,651</w:t>
            </w:r>
          </w:p>
        </w:tc>
        <w:tc>
          <w:tcPr>
            <w:tcW w:w="11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6,958</w:t>
            </w:r>
          </w:p>
        </w:tc>
        <w:tc>
          <w:tcPr>
            <w:tcW w:w="10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66,523,122</w:t>
            </w:r>
          </w:p>
        </w:tc>
        <w:tc>
          <w:tcPr>
            <w:tcW w:w="117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6,652</w:t>
            </w:r>
          </w:p>
        </w:tc>
      </w:tr>
      <w:tr>
        <w:trPr/>
        <w:tc>
          <w:tcPr>
            <w:tcW w:w="650" w:type="dxa"/>
            <w:tcBorders/>
            <w:shd w:fill="D5EAEA" w:val="clear"/>
            <w:vAlign w:val="center"/>
          </w:tcPr>
          <w:p>
            <w:pPr>
              <w:pStyle w:val="TableContents"/>
              <w:bidi w:val="0"/>
              <w:spacing w:before="0" w:after="283"/>
              <w:jc w:val="left"/>
              <w:rPr>
                <w:sz w:val="20"/>
              </w:rPr>
            </w:pPr>
            <w:r>
              <w:rPr>
                <w:sz w:val="20"/>
              </w:rPr>
              <w:t>Class B</w:t>
            </w:r>
          </w:p>
        </w:tc>
        <w:tc>
          <w:tcPr>
            <w:tcW w:w="105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92,945,430</w:t>
            </w:r>
          </w:p>
        </w:tc>
        <w:tc>
          <w:tcPr>
            <w:tcW w:w="116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9,295</w:t>
            </w:r>
          </w:p>
        </w:tc>
        <w:tc>
          <w:tcPr>
            <w:tcW w:w="105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92,945,430</w:t>
            </w:r>
          </w:p>
        </w:tc>
        <w:tc>
          <w:tcPr>
            <w:tcW w:w="117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9,295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8"/>
        <w:gridCol w:w="1060"/>
        <w:gridCol w:w="9007"/>
      </w:tblGrid>
      <w:tr>
        <w:trPr/>
        <w:tc>
          <w:tcPr>
            <w:tcW w:w="13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i/>
              </w:rPr>
            </w:pPr>
            <w:r>
              <w:rPr>
                <w:i/>
              </w:rPr>
              <w:t>(</w:t>
            </w:r>
            <w:r>
              <w:rPr>
                <w:i/>
                <w:caps w:val="false"/>
                <w:smallCaps w:val="false"/>
              </w:rPr>
              <w:t>b</w:t>
            </w:r>
            <w:r>
              <w:rPr>
                <w:i/>
              </w:rPr>
              <w:t>)</w:t>
            </w:r>
          </w:p>
        </w:tc>
        <w:tc>
          <w:tcPr>
            <w:tcW w:w="9007" w:type="dxa"/>
            <w:tcBorders/>
            <w:vAlign w:val="center"/>
          </w:tcPr>
          <w:p>
            <w:pPr>
              <w:pStyle w:val="TableContents"/>
              <w:bidi w:val="0"/>
              <w:spacing w:before="0" w:after="283"/>
              <w:jc w:val="both"/>
              <w:rPr>
                <w:i/>
                <w:caps w:val="false"/>
                <w:smallCaps w:val="false"/>
              </w:rPr>
            </w:pPr>
            <w:r>
              <w:rPr>
                <w:i/>
                <w:caps w:val="false"/>
                <w:smallCaps w:val="false"/>
              </w:rPr>
              <w:t>Additional paid-in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Paid-in Capital amounts recorded as of June 30, 2026, and December 31, 2025, are presented below:</w:t>
      </w:r>
    </w:p>
    <w:p>
      <w:pPr>
        <w:pStyle w:val="TextBody"/>
        <w:bidi w:val="0"/>
        <w:spacing w:before="0" w:after="0"/>
        <w:ind w:left="0" w:right="0" w:hanging="0"/>
        <w:jc w:val="both"/>
        <w:rPr>
          <w:caps w:val="false"/>
          <w:smallCaps w:val="false"/>
        </w:rPr>
      </w:pPr>
      <w:r>
        <w:rPr>
          <w:caps w:val="false"/>
          <w:smallCaps w:val="false"/>
        </w:rPr>
        <w:t> </w:t>
      </w:r>
    </w:p>
    <w:tbl>
      <w:tblPr>
        <w:tblW w:w="7140" w:type="dxa"/>
        <w:jc w:val="center"/>
        <w:tblInd w:w="0" w:type="dxa"/>
        <w:tblLayout w:type="fixed"/>
        <w:tblCellMar>
          <w:top w:w="0" w:type="dxa"/>
          <w:left w:w="0" w:type="dxa"/>
          <w:bottom w:w="0" w:type="dxa"/>
          <w:right w:w="0" w:type="dxa"/>
        </w:tblCellMar>
      </w:tblPr>
      <w:tblGrid>
        <w:gridCol w:w="4295"/>
        <w:gridCol w:w="1190"/>
        <w:gridCol w:w="1655"/>
      </w:tblGrid>
      <w:tr>
        <w:trPr/>
        <w:tc>
          <w:tcPr>
            <w:tcW w:w="4295"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4295" w:type="dxa"/>
            <w:tcBorders/>
            <w:shd w:fill="D5EAEA" w:val="clear"/>
            <w:vAlign w:val="center"/>
          </w:tcPr>
          <w:p>
            <w:pPr>
              <w:pStyle w:val="TableContents"/>
              <w:bidi w:val="0"/>
              <w:spacing w:before="0" w:after="283"/>
              <w:jc w:val="left"/>
              <w:rPr>
                <w:sz w:val="20"/>
              </w:rPr>
            </w:pPr>
            <w:r>
              <w:rPr>
                <w:sz w:val="20"/>
              </w:rPr>
              <w:t xml:space="preserve">Class A </w:t>
            </w:r>
          </w:p>
        </w:tc>
        <w:tc>
          <w:tcPr>
            <w:tcW w:w="1190" w:type="dxa"/>
            <w:tcBorders/>
            <w:shd w:fill="D5EAEA" w:val="clear"/>
            <w:vAlign w:val="center"/>
          </w:tcPr>
          <w:p>
            <w:pPr>
              <w:pStyle w:val="TableContents"/>
              <w:bidi w:val="0"/>
              <w:spacing w:before="0" w:after="283"/>
              <w:jc w:val="right"/>
              <w:rPr>
                <w:sz w:val="20"/>
              </w:rPr>
            </w:pPr>
            <w:r>
              <w:rPr>
                <w:sz w:val="20"/>
              </w:rPr>
              <w:t>517,779</w:t>
            </w:r>
          </w:p>
        </w:tc>
        <w:tc>
          <w:tcPr>
            <w:tcW w:w="1655" w:type="dxa"/>
            <w:tcBorders/>
            <w:shd w:fill="D5EAEA" w:val="clear"/>
            <w:vAlign w:val="center"/>
          </w:tcPr>
          <w:p>
            <w:pPr>
              <w:pStyle w:val="TableContents"/>
              <w:bidi w:val="0"/>
              <w:spacing w:before="0" w:after="283"/>
              <w:jc w:val="right"/>
              <w:rPr>
                <w:sz w:val="20"/>
              </w:rPr>
            </w:pPr>
            <w:r>
              <w:rPr>
                <w:sz w:val="20"/>
              </w:rPr>
              <w:t>461,153</w:t>
            </w:r>
          </w:p>
        </w:tc>
      </w:tr>
      <w:tr>
        <w:trPr/>
        <w:tc>
          <w:tcPr>
            <w:tcW w:w="4295" w:type="dxa"/>
            <w:tcBorders/>
            <w:shd w:fill="FFFFFF" w:val="clear"/>
            <w:vAlign w:val="center"/>
          </w:tcPr>
          <w:p>
            <w:pPr>
              <w:pStyle w:val="TableContents"/>
              <w:bidi w:val="0"/>
              <w:spacing w:before="0" w:after="283"/>
              <w:jc w:val="left"/>
              <w:rPr>
                <w:sz w:val="20"/>
              </w:rPr>
            </w:pPr>
            <w:r>
              <w:rPr>
                <w:sz w:val="20"/>
              </w:rPr>
              <w:t>Class B</w:t>
            </w:r>
          </w:p>
        </w:tc>
        <w:tc>
          <w:tcPr>
            <w:tcW w:w="1190" w:type="dxa"/>
            <w:tcBorders/>
            <w:shd w:fill="FFFFFF" w:val="clear"/>
            <w:vAlign w:val="center"/>
          </w:tcPr>
          <w:p>
            <w:pPr>
              <w:pStyle w:val="TableContents"/>
              <w:bidi w:val="0"/>
              <w:spacing w:before="0" w:after="283"/>
              <w:jc w:val="right"/>
              <w:rPr>
                <w:sz w:val="20"/>
              </w:rPr>
            </w:pPr>
            <w:r>
              <w:rPr>
                <w:sz w:val="20"/>
              </w:rPr>
              <w:t>186,101</w:t>
            </w:r>
          </w:p>
        </w:tc>
        <w:tc>
          <w:tcPr>
            <w:tcW w:w="1655" w:type="dxa"/>
            <w:tcBorders/>
            <w:shd w:fill="FFFFFF" w:val="clear"/>
            <w:vAlign w:val="center"/>
          </w:tcPr>
          <w:p>
            <w:pPr>
              <w:pStyle w:val="TableContents"/>
              <w:bidi w:val="0"/>
              <w:spacing w:before="0" w:after="283"/>
              <w:jc w:val="right"/>
              <w:rPr>
                <w:sz w:val="20"/>
              </w:rPr>
            </w:pPr>
            <w:r>
              <w:rPr>
                <w:sz w:val="20"/>
              </w:rPr>
              <w:t>186,101</w:t>
            </w:r>
          </w:p>
        </w:tc>
      </w:tr>
      <w:tr>
        <w:trPr/>
        <w:tc>
          <w:tcPr>
            <w:tcW w:w="4295" w:type="dxa"/>
            <w:tcBorders/>
            <w:shd w:fill="D5EAEA" w:val="clear"/>
            <w:vAlign w:val="center"/>
          </w:tcPr>
          <w:p>
            <w:pPr>
              <w:pStyle w:val="TableContents"/>
              <w:bidi w:val="0"/>
              <w:spacing w:before="0" w:after="283"/>
              <w:jc w:val="left"/>
              <w:rPr>
                <w:b/>
                <w:sz w:val="20"/>
              </w:rPr>
            </w:pPr>
            <w:r>
              <w:rPr>
                <w:b/>
                <w:sz w:val="20"/>
              </w:rPr>
              <w:t>Gross total</w:t>
            </w:r>
          </w:p>
        </w:tc>
        <w:tc>
          <w:tcPr>
            <w:tcW w:w="119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703,880</w:t>
            </w:r>
          </w:p>
        </w:tc>
        <w:tc>
          <w:tcPr>
            <w:tcW w:w="165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647,254</w:t>
            </w:r>
          </w:p>
        </w:tc>
      </w:tr>
      <w:tr>
        <w:trPr/>
        <w:tc>
          <w:tcPr>
            <w:tcW w:w="4295" w:type="dxa"/>
            <w:tcBorders/>
            <w:shd w:fill="FFFFFF" w:val="clear"/>
            <w:vAlign w:val="center"/>
          </w:tcPr>
          <w:p>
            <w:pPr>
              <w:pStyle w:val="TableContents"/>
              <w:bidi w:val="0"/>
              <w:spacing w:before="0" w:after="283"/>
              <w:jc w:val="left"/>
              <w:rPr>
                <w:b/>
                <w:sz w:val="20"/>
              </w:rPr>
            </w:pPr>
            <w:r>
              <w:rPr>
                <w:b/>
                <w:sz w:val="20"/>
              </w:rPr>
              <w:t>Utilized for dividends declared (refer to note 29(c))</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(95,616)</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(57,850)</w:t>
            </w:r>
          </w:p>
        </w:tc>
      </w:tr>
      <w:tr>
        <w:trPr/>
        <w:tc>
          <w:tcPr>
            <w:tcW w:w="4295" w:type="dxa"/>
            <w:tcBorders/>
            <w:shd w:fill="D5EAEA" w:val="clear"/>
            <w:vAlign w:val="center"/>
          </w:tcPr>
          <w:p>
            <w:pPr>
              <w:pStyle w:val="TableContents"/>
              <w:bidi w:val="0"/>
              <w:spacing w:before="0" w:after="283"/>
              <w:jc w:val="left"/>
              <w:rPr>
                <w:b/>
                <w:sz w:val="20"/>
              </w:rPr>
            </w:pPr>
            <w:r>
              <w:rPr>
                <w:b/>
                <w:sz w:val="20"/>
              </w:rPr>
              <w:t>Net additional paid-in capital</w:t>
            </w:r>
          </w:p>
        </w:tc>
        <w:tc>
          <w:tcPr>
            <w:tcW w:w="1190"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608,264</w:t>
            </w:r>
          </w:p>
        </w:tc>
        <w:tc>
          <w:tcPr>
            <w:tcW w:w="1655" w:type="dxa"/>
            <w:tcBorders>
              <w:bottom w:val="double" w:sz="6" w:space="0" w:color="000000"/>
            </w:tcBorders>
            <w:shd w:fill="D5EAEA" w:val="clear"/>
            <w:tcMar>
              <w:bottom w:w="28" w:type="dxa"/>
            </w:tcMar>
            <w:vAlign w:val="center"/>
          </w:tcPr>
          <w:p>
            <w:pPr>
              <w:pStyle w:val="TableContents"/>
              <w:bidi w:val="0"/>
              <w:spacing w:before="0" w:after="283"/>
              <w:jc w:val="right"/>
              <w:rPr>
                <w:b/>
                <w:sz w:val="20"/>
              </w:rPr>
            </w:pPr>
            <w:r>
              <w:rPr>
                <w:b/>
                <w:sz w:val="20"/>
              </w:rPr>
              <w:t>589,404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in additional paid-in capital for the six-month period ended June 30, 2026, are summarized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On January 20, 2026, the Company issued 1,074,339 Class A common shares (US$ 18.7 million) to VBI’s previous owners as part settlement of the VBI option exercise.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On February 24, 2026, and in April 2026, the Company issued 1,693,231 and 212,486 Class A common shares of the Company (US$ 25.7 million) settling bonuses of employees and key management as part of the bonus share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pPr>
            <w:r>
              <w:rPr/>
              <w:t>On February 26, 2026, the Company issued 50,599 Class A common shares (US$0.7 million) as part settlement of carried interest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both"/>
              <w:rPr/>
            </w:pPr>
            <w:r>
              <w:rPr/>
              <w:t>On April 28, 2026, the Company issues 158,309 Class A common shares, as settlement of retention bonuses payable to CSHG employees and key management (US$2.7 million).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8" w:type="dxa"/>
            <w:tcBorders/>
            <w:vAlign w:val="center"/>
          </w:tcPr>
          <w:p>
            <w:pPr>
              <w:pStyle w:val="TableContents"/>
              <w:bidi w:val="0"/>
              <w:spacing w:before="0" w:after="283"/>
              <w:jc w:val="both"/>
              <w:rPr/>
            </w:pPr>
            <w:r>
              <w:rPr/>
              <w:t>On April 16, 2026 and April 28, 2026, the Company issued 190,624 and 524,324 of Class A common shares respectively (US$2.4 million and US$6.5 million respectively), as part of the performance and matching long term incentive plan programs.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8" w:type="dxa"/>
            <w:tcBorders/>
            <w:vAlign w:val="center"/>
          </w:tcPr>
          <w:p>
            <w:pPr>
              <w:pStyle w:val="TableContents"/>
              <w:bidi w:val="0"/>
              <w:spacing w:before="0" w:after="283"/>
              <w:jc w:val="both"/>
              <w:rPr/>
            </w:pPr>
            <w:r>
              <w:rPr/>
              <w:t>On May 26, 2026, the Company issued 50,491 Class A common shares of the Company settling the final tranche of the Moneda deferred consideration.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2145"/>
        <w:gridCol w:w="7764"/>
      </w:tblGrid>
      <w:tr>
        <w:trPr/>
        <w:tc>
          <w:tcPr>
            <w:tcW w:w="296"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i/>
                <w:caps w:val="false"/>
                <w:smallCaps w:val="false"/>
              </w:rPr>
            </w:pPr>
            <w:r>
              <w:rPr>
                <w:i/>
                <w:caps w:val="false"/>
                <w:smallCaps w:val="false"/>
              </w:rPr>
              <w:t>(c)</w:t>
            </w:r>
          </w:p>
        </w:tc>
        <w:tc>
          <w:tcPr>
            <w:tcW w:w="7764" w:type="dxa"/>
            <w:tcBorders/>
            <w:vAlign w:val="center"/>
          </w:tcPr>
          <w:p>
            <w:pPr>
              <w:pStyle w:val="TableContents"/>
              <w:bidi w:val="0"/>
              <w:spacing w:before="0" w:after="283"/>
              <w:jc w:val="both"/>
              <w:rPr>
                <w:i/>
                <w:caps w:val="false"/>
                <w:smallCaps w:val="false"/>
              </w:rPr>
            </w:pPr>
            <w:r>
              <w:rPr>
                <w:i/>
                <w:caps w:val="false"/>
                <w:smallCaps w:val="false"/>
              </w:rPr>
              <w:t>Dividends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are declared and paid to the Company’s shareholders quarterly deploying accumulated retained earnings. The current year’s dividends declared to date were in excess of available retained earnings, however, under Cayman Law, dividends may also be distributed out of additional paid-in capital. As a result, additional paid-in capital of US$37.8 million (December 31, 2025: US$9.5 million) was transferred to retained earnings to fund the dividends declared in excess of accumulated retained earnings. The Company remains in a position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declared and paid by the Company to the Company’s shareholders for the six-month periods ended June 30, 2026, and 2025 were:</w:t>
      </w:r>
    </w:p>
    <w:p>
      <w:pPr>
        <w:pStyle w:val="TextBody"/>
        <w:bidi w:val="0"/>
        <w:spacing w:before="0" w:after="0"/>
        <w:ind w:left="0" w:right="0" w:hanging="0"/>
        <w:jc w:val="both"/>
        <w:rPr>
          <w:caps w:val="false"/>
          <w:smallCaps w:val="false"/>
        </w:rPr>
      </w:pPr>
      <w:r>
        <w:rPr>
          <w:caps w:val="false"/>
          <w:smallCaps w:val="false"/>
        </w:rPr>
        <w:t> </w:t>
      </w:r>
    </w:p>
    <w:tbl>
      <w:tblPr>
        <w:tblW w:w="3479" w:type="dxa"/>
        <w:jc w:val="center"/>
        <w:tblInd w:w="0" w:type="dxa"/>
        <w:tblLayout w:type="fixed"/>
        <w:tblCellMar>
          <w:top w:w="0" w:type="dxa"/>
          <w:left w:w="0" w:type="dxa"/>
          <w:bottom w:w="0" w:type="dxa"/>
          <w:right w:w="0" w:type="dxa"/>
        </w:tblCellMar>
      </w:tblPr>
      <w:tblGrid>
        <w:gridCol w:w="1085"/>
        <w:gridCol w:w="595"/>
        <w:gridCol w:w="595"/>
        <w:gridCol w:w="594"/>
        <w:gridCol w:w="610"/>
      </w:tblGrid>
      <w:tr>
        <w:trPr/>
        <w:tc>
          <w:tcPr>
            <w:tcW w:w="1085" w:type="dxa"/>
            <w:tcBorders/>
            <w:vAlign w:val="center"/>
          </w:tcPr>
          <w:p>
            <w:pPr>
              <w:pStyle w:val="TableContents"/>
              <w:bidi w:val="0"/>
              <w:spacing w:before="0" w:after="283"/>
              <w:jc w:val="left"/>
              <w:rPr>
                <w:b/>
                <w:sz w:val="20"/>
              </w:rPr>
            </w:pPr>
            <w:r>
              <w:rPr>
                <w:b/>
                <w:sz w:val="20"/>
              </w:rPr>
              <w:t>Shareholder</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2025</w:t>
            </w:r>
          </w:p>
        </w:tc>
      </w:tr>
      <w:tr>
        <w:trPr/>
        <w:tc>
          <w:tcPr>
            <w:tcW w:w="1085"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sz w:val="20"/>
              </w:rPr>
            </w:pPr>
            <w:r>
              <w:rPr>
                <w:sz w:val="20"/>
              </w:rPr>
              <w:t>US$</w:t>
            </w:r>
          </w:p>
        </w:tc>
        <w:tc>
          <w:tcPr>
            <w:tcW w:w="594"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sz w:val="20"/>
              </w:rPr>
            </w:pPr>
            <w:r>
              <w:rPr>
                <w:sz w:val="20"/>
              </w:rPr>
              <w:t>US$</w:t>
            </w:r>
          </w:p>
        </w:tc>
      </w:tr>
      <w:tr>
        <w:trPr/>
        <w:tc>
          <w:tcPr>
            <w:tcW w:w="1085" w:type="dxa"/>
            <w:tcBorders/>
            <w:shd w:fill="D5EAEA" w:val="clear"/>
            <w:vAlign w:val="center"/>
          </w:tcPr>
          <w:p>
            <w:pPr>
              <w:pStyle w:val="TableContents"/>
              <w:bidi w:val="0"/>
              <w:spacing w:before="0" w:after="283"/>
              <w:jc w:val="left"/>
              <w:rPr>
                <w:sz w:val="20"/>
              </w:rPr>
            </w:pPr>
            <w:r>
              <w:rPr>
                <w:sz w:val="20"/>
              </w:rPr>
              <w:t>Class A</w:t>
            </w:r>
          </w:p>
        </w:tc>
        <w:tc>
          <w:tcPr>
            <w:tcW w:w="595" w:type="dxa"/>
            <w:tcBorders/>
            <w:shd w:fill="D5EAEA" w:val="clear"/>
            <w:vAlign w:val="center"/>
          </w:tcPr>
          <w:p>
            <w:pPr>
              <w:pStyle w:val="TableContents"/>
              <w:bidi w:val="0"/>
              <w:spacing w:before="0" w:after="283"/>
              <w:jc w:val="right"/>
              <w:rPr>
                <w:sz w:val="20"/>
              </w:rPr>
            </w:pPr>
            <w:r>
              <w:rPr>
                <w:sz w:val="20"/>
              </w:rPr>
              <w:t>21,738</w:t>
            </w:r>
          </w:p>
        </w:tc>
        <w:tc>
          <w:tcPr>
            <w:tcW w:w="595" w:type="dxa"/>
            <w:tcBorders/>
            <w:shd w:fill="D5EAEA" w:val="clear"/>
            <w:vAlign w:val="center"/>
          </w:tcPr>
          <w:p>
            <w:pPr>
              <w:pStyle w:val="TableContents"/>
              <w:bidi w:val="0"/>
              <w:spacing w:before="0" w:after="283"/>
              <w:jc w:val="right"/>
              <w:rPr>
                <w:sz w:val="20"/>
              </w:rPr>
            </w:pPr>
            <w:r>
              <w:rPr>
                <w:sz w:val="20"/>
              </w:rPr>
              <w:t>0.3108</w:t>
            </w:r>
          </w:p>
        </w:tc>
        <w:tc>
          <w:tcPr>
            <w:tcW w:w="594" w:type="dxa"/>
            <w:tcBorders/>
            <w:shd w:fill="D5EAEA" w:val="clear"/>
            <w:vAlign w:val="center"/>
          </w:tcPr>
          <w:p>
            <w:pPr>
              <w:pStyle w:val="TableContents"/>
              <w:bidi w:val="0"/>
              <w:spacing w:before="0" w:after="283"/>
              <w:jc w:val="right"/>
              <w:rPr>
                <w:sz w:val="20"/>
              </w:rPr>
            </w:pPr>
            <w:r>
              <w:rPr>
                <w:sz w:val="20"/>
              </w:rPr>
              <w:t>19,610</w:t>
            </w:r>
          </w:p>
        </w:tc>
        <w:tc>
          <w:tcPr>
            <w:tcW w:w="610" w:type="dxa"/>
            <w:tcBorders/>
            <w:shd w:fill="D5EAEA" w:val="clear"/>
            <w:vAlign w:val="center"/>
          </w:tcPr>
          <w:p>
            <w:pPr>
              <w:pStyle w:val="TableContents"/>
              <w:bidi w:val="0"/>
              <w:spacing w:before="0" w:after="283"/>
              <w:jc w:val="right"/>
              <w:rPr>
                <w:sz w:val="20"/>
              </w:rPr>
            </w:pPr>
            <w:r>
              <w:rPr>
                <w:sz w:val="20"/>
              </w:rPr>
              <w:t>0.2979</w:t>
            </w:r>
          </w:p>
        </w:tc>
      </w:tr>
      <w:tr>
        <w:trPr/>
        <w:tc>
          <w:tcPr>
            <w:tcW w:w="1085" w:type="dxa"/>
            <w:tcBorders/>
            <w:shd w:fill="FFFFFF" w:val="clear"/>
            <w:vAlign w:val="center"/>
          </w:tcPr>
          <w:p>
            <w:pPr>
              <w:pStyle w:val="TableContents"/>
              <w:bidi w:val="0"/>
              <w:spacing w:before="0" w:after="283"/>
              <w:jc w:val="left"/>
              <w:rPr>
                <w:sz w:val="20"/>
              </w:rPr>
            </w:pPr>
            <w:r>
              <w:rPr>
                <w:sz w:val="20"/>
              </w:rPr>
              <w:t>Class B</w:t>
            </w:r>
          </w:p>
        </w:tc>
        <w:tc>
          <w:tcPr>
            <w:tcW w:w="5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28,891</w:t>
            </w:r>
          </w:p>
        </w:tc>
        <w:tc>
          <w:tcPr>
            <w:tcW w:w="5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0.3108</w:t>
            </w:r>
          </w:p>
        </w:tc>
        <w:tc>
          <w:tcPr>
            <w:tcW w:w="594" w:type="dxa"/>
            <w:tcBorders/>
            <w:shd w:fill="FFFFFF" w:val="clear"/>
            <w:vAlign w:val="center"/>
          </w:tcPr>
          <w:p>
            <w:pPr>
              <w:pStyle w:val="TableContents"/>
              <w:bidi w:val="0"/>
              <w:spacing w:before="0" w:after="283"/>
              <w:jc w:val="right"/>
              <w:rPr>
                <w:sz w:val="20"/>
              </w:rPr>
            </w:pPr>
            <w:r>
              <w:rPr>
                <w:sz w:val="20"/>
              </w:rPr>
              <w:t>27,691</w:t>
            </w:r>
          </w:p>
        </w:tc>
        <w:tc>
          <w:tcPr>
            <w:tcW w:w="610" w:type="dxa"/>
            <w:tcBorders/>
            <w:shd w:fill="FFFFFF" w:val="clear"/>
            <w:vAlign w:val="center"/>
          </w:tcPr>
          <w:p>
            <w:pPr>
              <w:pStyle w:val="TableContents"/>
              <w:bidi w:val="0"/>
              <w:spacing w:before="0" w:after="283"/>
              <w:jc w:val="right"/>
              <w:rPr>
                <w:sz w:val="20"/>
              </w:rPr>
            </w:pPr>
            <w:r>
              <w:rPr>
                <w:sz w:val="20"/>
              </w:rPr>
              <w:t>0.2979</w:t>
            </w:r>
          </w:p>
        </w:tc>
      </w:tr>
      <w:tr>
        <w:trPr/>
        <w:tc>
          <w:tcPr>
            <w:tcW w:w="1085" w:type="dxa"/>
            <w:tcBorders/>
            <w:shd w:fill="D5EAEA" w:val="clear"/>
            <w:vAlign w:val="center"/>
          </w:tcPr>
          <w:p>
            <w:pPr>
              <w:pStyle w:val="TableContents"/>
              <w:bidi w:val="0"/>
              <w:spacing w:before="0" w:after="283"/>
              <w:jc w:val="left"/>
              <w:rPr>
                <w:b/>
                <w:sz w:val="20"/>
              </w:rPr>
            </w:pPr>
            <w:r>
              <w:rPr>
                <w:b/>
                <w:sz w:val="20"/>
              </w:rPr>
              <w:t>Total</w:t>
            </w:r>
          </w:p>
        </w:tc>
        <w:tc>
          <w:tcPr>
            <w:tcW w:w="595"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50,629</w:t>
            </w:r>
          </w:p>
        </w:tc>
        <w:tc>
          <w:tcPr>
            <w:tcW w:w="595"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0.3108</w:t>
            </w:r>
          </w:p>
        </w:tc>
        <w:tc>
          <w:tcPr>
            <w:tcW w:w="594"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47,301</w:t>
            </w:r>
          </w:p>
        </w:tc>
        <w:tc>
          <w:tcPr>
            <w:tcW w:w="610"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0.2979</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985"/>
        <w:gridCol w:w="9091"/>
      </w:tblGrid>
      <w:tr>
        <w:trPr/>
        <w:tc>
          <w:tcPr>
            <w:tcW w:w="12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i/>
                <w:caps w:val="false"/>
                <w:smallCaps w:val="false"/>
              </w:rPr>
            </w:pPr>
            <w:r>
              <w:rPr>
                <w:i/>
                <w:caps w:val="false"/>
                <w:smallCaps w:val="false"/>
              </w:rPr>
              <w:t>(d)</w:t>
            </w:r>
          </w:p>
        </w:tc>
        <w:tc>
          <w:tcPr>
            <w:tcW w:w="9091" w:type="dxa"/>
            <w:tcBorders/>
            <w:vAlign w:val="center"/>
          </w:tcPr>
          <w:p>
            <w:pPr>
              <w:pStyle w:val="TableContents"/>
              <w:bidi w:val="0"/>
              <w:spacing w:before="0" w:after="283"/>
              <w:jc w:val="both"/>
              <w:rPr>
                <w:i/>
                <w:caps w:val="false"/>
                <w:smallCaps w:val="false"/>
              </w:rPr>
            </w:pPr>
            <w:r>
              <w:rPr>
                <w:i/>
                <w:caps w:val="false"/>
                <w:smallCaps w:val="false"/>
              </w:rPr>
              <w:t>Share based incentive plans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incentive programs under the long-term incentive plan (“LTIP”) are restricted share plans in which eligible participants include members of the Company’s management and its employees. Beneficiaries under the equity incentive programs are granted rights to shares based on certain criteria (time and performance vesting conditions). The final eligibility of any beneficiary to participate in the LTIP is determined by the LTIP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LTIP was approved and launched on November 28, 2022. From 2022 going forward a maximum of 600,000 shares can be granted from the LTIP. As of June 30, 2026, Grants A and B disclosed below have been granted from the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LTIP was approved and launched on February 26, 2024. From 2024 going forward, a maximum of 5,380,000 shares can be granted from the LTIP. As of June 30, 2026, Grant C, Grant D and Matching program disclosed below have been granted from the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A was provided to eligible participants commencing from January 2022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Grant A shall not exceed 101,408 (84,506 Performance Restricted Units (“PSUs”) were granted to eligible participants under Grant A and the remaining 16,902 PSUs may be issued in the future, subject to the boost grant requirements being met).</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B was provided to eligible participants commencing from January 2023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Grant B shall not exceed 357,132 (297,610 PSUs were granted to eligible participants under Grant B and the remaining 59,522 PSUs may be issued in the future, subject to the boost grant requirements being met).</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C was provided to eligible participants commencing from June 2024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Grant C shall not exceed 3,389,796. PSUs totaling 2,384,830 were granted to eligible participants under Grant C, and the remaining 564,966 PSUs may be issued in the future, subject to the boost grant requirements being met. 543,953 Restricted Stock Units (“RSUs”) were also issued where eligible participants are required to remain in service for a specified period with no performance condition attached to the RSUs.</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 was provided to eligible participants commencing from January 2025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Grant D shall not exceed 2,353,655 (1,961,379 PSUs were granted to eligible participants under Grant D and the remaining 392,276 PSUs may be issued in the future, subject to the boost grant requirements being met.)</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E was provided to eligible participants commencing from February 2026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Grant E shall not exceed 2,049,509 (1,707,924 PSUs were granted to eligible participants under Grant E and the remaining 341,585 PSUs may be issued in the future, subject to the boost grant requirements being met.)</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Matching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Matching program was provided to eligible participants commencing from February 2024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the Matching program shall not exceed 924,008 RSUs which were granted during 2024.</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the Matching program for 2025 shall not exceed 1,557,247 RSUs which were all granted.</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the Matching program for 2026 shall not exceed 1,252,067 RSUs which were all granted.</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IPO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IPO Grant was subject to the completion of the IPO registration and approved by the board of director’s meeting on May 19, 2021, and is closed to new participants. The IPO grant mirrors the vesting conditions of Grant A, excluding the commencement date and share price on grant date used for measuring achievement of time and 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the IPO grant shall not exceed 410,115 (289,183 PSUs were granted and the remaining 120,932 PSU might be issued subject to the boost grant requirements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share plan activity for the periods ended June 30, 2026, and December 31, 2025:</w:t>
      </w:r>
    </w:p>
    <w:p>
      <w:pPr>
        <w:pStyle w:val="TextBody"/>
        <w:bidi w:val="0"/>
        <w:spacing w:before="0" w:after="0"/>
        <w:ind w:left="0" w:right="0" w:hanging="0"/>
        <w:jc w:val="both"/>
        <w:rPr>
          <w:caps w:val="false"/>
          <w:smallCaps w:val="false"/>
        </w:rPr>
      </w:pPr>
      <w:r>
        <w:rPr>
          <w:caps w:val="false"/>
          <w:smallCaps w:val="false"/>
        </w:rPr>
        <w:t> </w:t>
      </w:r>
    </w:p>
    <w:tbl>
      <w:tblPr>
        <w:tblW w:w="9894" w:type="dxa"/>
        <w:jc w:val="center"/>
        <w:tblInd w:w="0" w:type="dxa"/>
        <w:tblLayout w:type="fixed"/>
        <w:tblCellMar>
          <w:top w:w="0" w:type="dxa"/>
          <w:left w:w="0" w:type="dxa"/>
          <w:bottom w:w="0" w:type="dxa"/>
          <w:right w:w="0" w:type="dxa"/>
        </w:tblCellMar>
      </w:tblPr>
      <w:tblGrid>
        <w:gridCol w:w="2780"/>
        <w:gridCol w:w="920"/>
        <w:gridCol w:w="710"/>
        <w:gridCol w:w="710"/>
        <w:gridCol w:w="710"/>
        <w:gridCol w:w="710"/>
        <w:gridCol w:w="710"/>
        <w:gridCol w:w="794"/>
        <w:gridCol w:w="1850"/>
      </w:tblGrid>
      <w:tr>
        <w:trPr/>
        <w:tc>
          <w:tcPr>
            <w:tcW w:w="278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IPO Grant</w:t>
            </w:r>
          </w:p>
        </w:tc>
        <w:tc>
          <w:tcPr>
            <w:tcW w:w="7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A</w:t>
            </w:r>
          </w:p>
        </w:tc>
        <w:tc>
          <w:tcPr>
            <w:tcW w:w="7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B</w:t>
            </w:r>
          </w:p>
        </w:tc>
        <w:tc>
          <w:tcPr>
            <w:tcW w:w="7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C</w:t>
            </w:r>
          </w:p>
        </w:tc>
        <w:tc>
          <w:tcPr>
            <w:tcW w:w="7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D</w:t>
            </w:r>
          </w:p>
        </w:tc>
        <w:tc>
          <w:tcPr>
            <w:tcW w:w="7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E</w:t>
            </w:r>
          </w:p>
        </w:tc>
        <w:tc>
          <w:tcPr>
            <w:tcW w:w="79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C</w:t>
            </w:r>
          </w:p>
        </w:tc>
        <w:tc>
          <w:tcPr>
            <w:tcW w:w="18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Matching program</w:t>
            </w:r>
          </w:p>
        </w:tc>
      </w:tr>
      <w:tr>
        <w:trPr/>
        <w:tc>
          <w:tcPr>
            <w:tcW w:w="2780" w:type="dxa"/>
            <w:tcBorders/>
            <w:vAlign w:val="center"/>
          </w:tcPr>
          <w:p>
            <w:pPr>
              <w:pStyle w:val="TableContents"/>
              <w:bidi w:val="0"/>
              <w:spacing w:before="0" w:after="283"/>
              <w:jc w:val="left"/>
              <w:rPr/>
            </w:pPr>
            <w:r>
              <w:rPr/>
              <w:t> </w:t>
            </w:r>
          </w:p>
        </w:tc>
        <w:tc>
          <w:tcPr>
            <w:tcW w:w="4470" w:type="dxa"/>
            <w:gridSpan w:val="6"/>
            <w:tcBorders/>
            <w:vAlign w:val="center"/>
          </w:tcPr>
          <w:p>
            <w:pPr>
              <w:pStyle w:val="TableContents"/>
              <w:bidi w:val="0"/>
              <w:spacing w:before="0" w:after="283"/>
              <w:jc w:val="center"/>
              <w:rPr>
                <w:b/>
                <w:sz w:val="20"/>
              </w:rPr>
            </w:pPr>
            <w:r>
              <w:rPr>
                <w:b/>
                <w:sz w:val="20"/>
              </w:rPr>
              <w:t>Number of PSUs (in thousands)</w:t>
            </w:r>
          </w:p>
        </w:tc>
        <w:tc>
          <w:tcPr>
            <w:tcW w:w="2644" w:type="dxa"/>
            <w:gridSpan w:val="2"/>
            <w:tcBorders/>
            <w:vAlign w:val="center"/>
          </w:tcPr>
          <w:p>
            <w:pPr>
              <w:pStyle w:val="TableContents"/>
              <w:bidi w:val="0"/>
              <w:spacing w:before="0" w:after="283"/>
              <w:jc w:val="center"/>
              <w:rPr>
                <w:b/>
                <w:sz w:val="20"/>
              </w:rPr>
            </w:pPr>
            <w:r>
              <w:rPr>
                <w:b/>
                <w:sz w:val="20"/>
              </w:rPr>
              <w:t>Number of RSUs (in thousands)</w:t>
            </w:r>
          </w:p>
        </w:tc>
      </w:tr>
      <w:tr>
        <w:trPr/>
        <w:tc>
          <w:tcPr>
            <w:tcW w:w="2780" w:type="dxa"/>
            <w:tcBorders/>
            <w:vAlign w:val="center"/>
          </w:tcPr>
          <w:p>
            <w:pPr>
              <w:pStyle w:val="TableContents"/>
              <w:bidi w:val="0"/>
              <w:spacing w:before="0" w:after="283"/>
              <w:jc w:val="center"/>
              <w:rPr/>
            </w:pPr>
            <w:r>
              <w:rPr/>
              <w:t> </w:t>
            </w:r>
          </w:p>
        </w:tc>
        <w:tc>
          <w:tcPr>
            <w:tcW w:w="3050" w:type="dxa"/>
            <w:gridSpan w:val="4"/>
            <w:tcBorders>
              <w:top w:val="single" w:sz="8" w:space="0" w:color="000000"/>
            </w:tcBorders>
            <w:tcMar>
              <w:top w:w="28" w:type="dxa"/>
            </w:tcMar>
            <w:vAlign w:val="center"/>
          </w:tcPr>
          <w:p>
            <w:pPr>
              <w:pStyle w:val="TableContents"/>
              <w:bidi w:val="0"/>
              <w:spacing w:before="0" w:after="283"/>
              <w:jc w:val="center"/>
              <w:rPr/>
            </w:pPr>
            <w:r>
              <w:rPr/>
              <w:t> </w:t>
            </w:r>
          </w:p>
        </w:tc>
        <w:tc>
          <w:tcPr>
            <w:tcW w:w="710" w:type="dxa"/>
            <w:tcBorders>
              <w:top w:val="single" w:sz="8" w:space="0" w:color="000000"/>
            </w:tcBorders>
            <w:tcMar>
              <w:top w:w="28" w:type="dxa"/>
            </w:tcMar>
            <w:vAlign w:val="center"/>
          </w:tcPr>
          <w:p>
            <w:pPr>
              <w:pStyle w:val="TableContents"/>
              <w:bidi w:val="0"/>
              <w:spacing w:before="0" w:after="283"/>
              <w:jc w:val="center"/>
              <w:rPr/>
            </w:pPr>
            <w:r>
              <w:rPr/>
              <w:t> </w:t>
            </w:r>
          </w:p>
        </w:tc>
        <w:tc>
          <w:tcPr>
            <w:tcW w:w="710" w:type="dxa"/>
            <w:tcBorders>
              <w:top w:val="single" w:sz="8" w:space="0" w:color="000000"/>
            </w:tcBorders>
            <w:tcMar>
              <w:top w:w="28" w:type="dxa"/>
            </w:tcMar>
            <w:vAlign w:val="center"/>
          </w:tcPr>
          <w:p>
            <w:pPr>
              <w:pStyle w:val="TableContents"/>
              <w:bidi w:val="0"/>
              <w:spacing w:before="0" w:after="283"/>
              <w:jc w:val="center"/>
              <w:rPr/>
            </w:pPr>
            <w:r>
              <w:rPr/>
              <w:t> </w:t>
            </w:r>
          </w:p>
        </w:tc>
        <w:tc>
          <w:tcPr>
            <w:tcW w:w="2644" w:type="dxa"/>
            <w:gridSpan w:val="2"/>
            <w:tcBorders>
              <w:top w:val="single" w:sz="8" w:space="0" w:color="000000"/>
            </w:tcBorders>
            <w:tcMar>
              <w:top w:w="28" w:type="dxa"/>
            </w:tcMar>
            <w:vAlign w:val="center"/>
          </w:tcPr>
          <w:p>
            <w:pPr>
              <w:pStyle w:val="TableContents"/>
              <w:bidi w:val="0"/>
              <w:spacing w:before="0" w:after="283"/>
              <w:jc w:val="center"/>
              <w:rPr/>
            </w:pPr>
            <w:r>
              <w:rPr/>
              <w:t> </w:t>
            </w:r>
          </w:p>
        </w:tc>
      </w:tr>
      <w:tr>
        <w:trPr/>
        <w:tc>
          <w:tcPr>
            <w:tcW w:w="2780" w:type="dxa"/>
            <w:tcBorders/>
            <w:shd w:fill="D5EAEA" w:val="clear"/>
            <w:vAlign w:val="center"/>
          </w:tcPr>
          <w:p>
            <w:pPr>
              <w:pStyle w:val="TableContents"/>
              <w:bidi w:val="0"/>
              <w:spacing w:before="0" w:after="283"/>
              <w:jc w:val="left"/>
              <w:rPr>
                <w:b/>
                <w:sz w:val="20"/>
              </w:rPr>
            </w:pPr>
            <w:r>
              <w:rPr>
                <w:b/>
                <w:sz w:val="20"/>
              </w:rPr>
              <w:t>Outstanding, December 31, 2024</w:t>
            </w:r>
          </w:p>
        </w:tc>
        <w:tc>
          <w:tcPr>
            <w:tcW w:w="92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105</w:t>
            </w:r>
          </w:p>
        </w:tc>
        <w:tc>
          <w:tcPr>
            <w:tcW w:w="71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65</w:t>
            </w:r>
          </w:p>
        </w:tc>
        <w:tc>
          <w:tcPr>
            <w:tcW w:w="71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260</w:t>
            </w:r>
          </w:p>
        </w:tc>
        <w:tc>
          <w:tcPr>
            <w:tcW w:w="71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2,785</w:t>
            </w:r>
          </w:p>
        </w:tc>
        <w:tc>
          <w:tcPr>
            <w:tcW w:w="71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w:t>
            </w:r>
          </w:p>
        </w:tc>
        <w:tc>
          <w:tcPr>
            <w:tcW w:w="71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w:t>
            </w:r>
          </w:p>
        </w:tc>
        <w:tc>
          <w:tcPr>
            <w:tcW w:w="794"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544</w:t>
            </w:r>
          </w:p>
        </w:tc>
        <w:tc>
          <w:tcPr>
            <w:tcW w:w="185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908</w:t>
            </w:r>
          </w:p>
        </w:tc>
      </w:tr>
      <w:tr>
        <w:trPr/>
        <w:tc>
          <w:tcPr>
            <w:tcW w:w="278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r>
      <w:tr>
        <w:trPr/>
        <w:tc>
          <w:tcPr>
            <w:tcW w:w="2780" w:type="dxa"/>
            <w:tcBorders/>
            <w:shd w:fill="D5EAEA" w:val="clear"/>
            <w:vAlign w:val="center"/>
          </w:tcPr>
          <w:p>
            <w:pPr>
              <w:pStyle w:val="TableContents"/>
              <w:bidi w:val="0"/>
              <w:spacing w:before="0" w:after="283"/>
              <w:jc w:val="left"/>
              <w:rPr>
                <w:sz w:val="20"/>
              </w:rPr>
            </w:pPr>
            <w:r>
              <w:rPr>
                <w:sz w:val="20"/>
              </w:rPr>
              <w:t>Granted</w:t>
            </w:r>
          </w:p>
        </w:tc>
        <w:tc>
          <w:tcPr>
            <w:tcW w:w="92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b/>
                <w:sz w:val="20"/>
              </w:rPr>
            </w:pPr>
            <w:r>
              <w:rPr>
                <w:b/>
                <w:sz w:val="20"/>
              </w:rPr>
              <w:t>-</w:t>
            </w:r>
          </w:p>
        </w:tc>
        <w:tc>
          <w:tcPr>
            <w:tcW w:w="710" w:type="dxa"/>
            <w:tcBorders/>
            <w:shd w:fill="D5EAEA" w:val="clear"/>
            <w:vAlign w:val="center"/>
          </w:tcPr>
          <w:p>
            <w:pPr>
              <w:pStyle w:val="TableContents"/>
              <w:bidi w:val="0"/>
              <w:spacing w:before="0" w:after="283"/>
              <w:jc w:val="right"/>
              <w:rPr>
                <w:b/>
                <w:sz w:val="20"/>
              </w:rPr>
            </w:pPr>
            <w:r>
              <w:rPr>
                <w:b/>
                <w:sz w:val="20"/>
              </w:rPr>
              <w:t>-</w:t>
            </w:r>
          </w:p>
        </w:tc>
        <w:tc>
          <w:tcPr>
            <w:tcW w:w="710" w:type="dxa"/>
            <w:tcBorders/>
            <w:shd w:fill="D5EAEA" w:val="clear"/>
            <w:vAlign w:val="center"/>
          </w:tcPr>
          <w:p>
            <w:pPr>
              <w:pStyle w:val="TableContents"/>
              <w:bidi w:val="0"/>
              <w:spacing w:before="0" w:after="283"/>
              <w:jc w:val="right"/>
              <w:rPr>
                <w:b/>
                <w:sz w:val="20"/>
              </w:rPr>
            </w:pPr>
            <w:r>
              <w:rPr>
                <w:b/>
                <w:sz w:val="20"/>
              </w:rPr>
              <w:t>-</w:t>
            </w:r>
          </w:p>
        </w:tc>
        <w:tc>
          <w:tcPr>
            <w:tcW w:w="710" w:type="dxa"/>
            <w:tcBorders/>
            <w:shd w:fill="D5EAEA" w:val="clear"/>
            <w:vAlign w:val="center"/>
          </w:tcPr>
          <w:p>
            <w:pPr>
              <w:pStyle w:val="TableContents"/>
              <w:bidi w:val="0"/>
              <w:spacing w:before="0" w:after="283"/>
              <w:jc w:val="right"/>
              <w:rPr>
                <w:sz w:val="20"/>
              </w:rPr>
            </w:pPr>
            <w:r>
              <w:rPr>
                <w:sz w:val="20"/>
              </w:rPr>
              <w:t>1,961</w:t>
            </w:r>
          </w:p>
        </w:tc>
        <w:tc>
          <w:tcPr>
            <w:tcW w:w="710" w:type="dxa"/>
            <w:tcBorders/>
            <w:shd w:fill="D5EAEA" w:val="clear"/>
            <w:vAlign w:val="center"/>
          </w:tcPr>
          <w:p>
            <w:pPr>
              <w:pStyle w:val="TableContents"/>
              <w:bidi w:val="0"/>
              <w:spacing w:before="0" w:after="283"/>
              <w:jc w:val="right"/>
              <w:rPr>
                <w:b/>
                <w:sz w:val="20"/>
              </w:rPr>
            </w:pPr>
            <w:r>
              <w:rPr>
                <w:b/>
                <w:sz w:val="20"/>
              </w:rPr>
              <w:t>-</w:t>
            </w:r>
          </w:p>
        </w:tc>
        <w:tc>
          <w:tcPr>
            <w:tcW w:w="794" w:type="dxa"/>
            <w:tcBorders/>
            <w:shd w:fill="D5EAEA" w:val="clear"/>
            <w:vAlign w:val="center"/>
          </w:tcPr>
          <w:p>
            <w:pPr>
              <w:pStyle w:val="TableContents"/>
              <w:bidi w:val="0"/>
              <w:spacing w:before="0" w:after="283"/>
              <w:jc w:val="right"/>
              <w:rPr>
                <w:b/>
                <w:sz w:val="20"/>
              </w:rPr>
            </w:pPr>
            <w:r>
              <w:rPr>
                <w:b/>
                <w:sz w:val="20"/>
              </w:rPr>
              <w:t>-</w:t>
            </w:r>
          </w:p>
        </w:tc>
        <w:tc>
          <w:tcPr>
            <w:tcW w:w="1850" w:type="dxa"/>
            <w:tcBorders/>
            <w:shd w:fill="D5EAEA" w:val="clear"/>
            <w:vAlign w:val="center"/>
          </w:tcPr>
          <w:p>
            <w:pPr>
              <w:pStyle w:val="TableContents"/>
              <w:bidi w:val="0"/>
              <w:spacing w:before="0" w:after="283"/>
              <w:jc w:val="right"/>
              <w:rPr>
                <w:sz w:val="20"/>
              </w:rPr>
            </w:pPr>
            <w:r>
              <w:rPr>
                <w:sz w:val="20"/>
              </w:rPr>
              <w:t>1,557</w:t>
            </w:r>
          </w:p>
        </w:tc>
      </w:tr>
      <w:tr>
        <w:trPr/>
        <w:tc>
          <w:tcPr>
            <w:tcW w:w="2780" w:type="dxa"/>
            <w:tcBorders/>
            <w:shd w:fill="FFFFFF" w:val="clear"/>
            <w:vAlign w:val="center"/>
          </w:tcPr>
          <w:p>
            <w:pPr>
              <w:pStyle w:val="TableContents"/>
              <w:bidi w:val="0"/>
              <w:spacing w:before="0" w:after="283"/>
              <w:jc w:val="left"/>
              <w:rPr>
                <w:sz w:val="20"/>
              </w:rPr>
            </w:pPr>
            <w:r>
              <w:rPr>
                <w:sz w:val="20"/>
              </w:rPr>
              <w:t>Forfeited</w:t>
            </w:r>
          </w:p>
        </w:tc>
        <w:tc>
          <w:tcPr>
            <w:tcW w:w="920" w:type="dxa"/>
            <w:tcBorders/>
            <w:shd w:fill="FFFFFF" w:val="clear"/>
            <w:vAlign w:val="center"/>
          </w:tcPr>
          <w:p>
            <w:pPr>
              <w:pStyle w:val="TableContents"/>
              <w:bidi w:val="0"/>
              <w:spacing w:before="0" w:after="283"/>
              <w:jc w:val="right"/>
              <w:rPr>
                <w:sz w:val="20"/>
              </w:rPr>
            </w:pPr>
            <w:r>
              <w:rPr>
                <w:sz w:val="20"/>
              </w:rPr>
              <w:t>-</w:t>
            </w:r>
          </w:p>
        </w:tc>
        <w:tc>
          <w:tcPr>
            <w:tcW w:w="710" w:type="dxa"/>
            <w:tcBorders/>
            <w:shd w:fill="FFFFFF" w:val="clear"/>
            <w:vAlign w:val="center"/>
          </w:tcPr>
          <w:p>
            <w:pPr>
              <w:pStyle w:val="TableContents"/>
              <w:bidi w:val="0"/>
              <w:spacing w:before="0" w:after="283"/>
              <w:jc w:val="right"/>
              <w:rPr>
                <w:b/>
                <w:sz w:val="20"/>
              </w:rPr>
            </w:pPr>
            <w:r>
              <w:rPr>
                <w:b/>
                <w:sz w:val="20"/>
              </w:rPr>
              <w:t>-</w:t>
            </w:r>
          </w:p>
        </w:tc>
        <w:tc>
          <w:tcPr>
            <w:tcW w:w="710" w:type="dxa"/>
            <w:tcBorders/>
            <w:shd w:fill="FFFFFF" w:val="clear"/>
            <w:vAlign w:val="center"/>
          </w:tcPr>
          <w:p>
            <w:pPr>
              <w:pStyle w:val="TableContents"/>
              <w:bidi w:val="0"/>
              <w:spacing w:before="0" w:after="283"/>
              <w:jc w:val="right"/>
              <w:rPr>
                <w:b/>
                <w:sz w:val="20"/>
              </w:rPr>
            </w:pPr>
            <w:r>
              <w:rPr>
                <w:b/>
                <w:sz w:val="20"/>
              </w:rPr>
              <w:t>-</w:t>
            </w:r>
          </w:p>
        </w:tc>
        <w:tc>
          <w:tcPr>
            <w:tcW w:w="710" w:type="dxa"/>
            <w:tcBorders/>
            <w:shd w:fill="FFFFFF" w:val="clear"/>
            <w:vAlign w:val="center"/>
          </w:tcPr>
          <w:p>
            <w:pPr>
              <w:pStyle w:val="TableContents"/>
              <w:bidi w:val="0"/>
              <w:spacing w:before="0" w:after="283"/>
              <w:jc w:val="right"/>
              <w:rPr>
                <w:sz w:val="20"/>
              </w:rPr>
            </w:pPr>
            <w:r>
              <w:rPr>
                <w:sz w:val="20"/>
              </w:rPr>
              <w:t>(15)</w:t>
            </w:r>
          </w:p>
        </w:tc>
        <w:tc>
          <w:tcPr>
            <w:tcW w:w="710" w:type="dxa"/>
            <w:tcBorders/>
            <w:shd w:fill="FFFFFF" w:val="clear"/>
            <w:vAlign w:val="center"/>
          </w:tcPr>
          <w:p>
            <w:pPr>
              <w:pStyle w:val="TableContents"/>
              <w:bidi w:val="0"/>
              <w:spacing w:before="0" w:after="283"/>
              <w:jc w:val="right"/>
              <w:rPr>
                <w:sz w:val="20"/>
              </w:rPr>
            </w:pPr>
            <w:r>
              <w:rPr>
                <w:sz w:val="20"/>
              </w:rPr>
              <w:t>(17)</w:t>
            </w:r>
          </w:p>
        </w:tc>
        <w:tc>
          <w:tcPr>
            <w:tcW w:w="710" w:type="dxa"/>
            <w:tcBorders/>
            <w:shd w:fill="FFFFFF" w:val="clear"/>
            <w:vAlign w:val="center"/>
          </w:tcPr>
          <w:p>
            <w:pPr>
              <w:pStyle w:val="TableContents"/>
              <w:bidi w:val="0"/>
              <w:spacing w:before="0" w:after="283"/>
              <w:jc w:val="right"/>
              <w:rPr>
                <w:b/>
                <w:sz w:val="20"/>
              </w:rPr>
            </w:pPr>
            <w:r>
              <w:rPr>
                <w:b/>
                <w:sz w:val="20"/>
              </w:rPr>
              <w:t>-</w:t>
            </w:r>
          </w:p>
        </w:tc>
        <w:tc>
          <w:tcPr>
            <w:tcW w:w="794" w:type="dxa"/>
            <w:tcBorders/>
            <w:shd w:fill="FFFFFF" w:val="clear"/>
            <w:vAlign w:val="center"/>
          </w:tcPr>
          <w:p>
            <w:pPr>
              <w:pStyle w:val="TableContents"/>
              <w:bidi w:val="0"/>
              <w:spacing w:before="0" w:after="283"/>
              <w:jc w:val="right"/>
              <w:rPr>
                <w:sz w:val="20"/>
              </w:rPr>
            </w:pPr>
            <w:r>
              <w:rPr>
                <w:sz w:val="20"/>
              </w:rPr>
              <w:t>-</w:t>
            </w:r>
          </w:p>
        </w:tc>
        <w:tc>
          <w:tcPr>
            <w:tcW w:w="1850" w:type="dxa"/>
            <w:tcBorders/>
            <w:shd w:fill="FFFFFF" w:val="clear"/>
            <w:vAlign w:val="center"/>
          </w:tcPr>
          <w:p>
            <w:pPr>
              <w:pStyle w:val="TableContents"/>
              <w:bidi w:val="0"/>
              <w:spacing w:before="0" w:after="283"/>
              <w:jc w:val="right"/>
              <w:rPr>
                <w:sz w:val="20"/>
              </w:rPr>
            </w:pPr>
            <w:r>
              <w:rPr>
                <w:sz w:val="20"/>
              </w:rPr>
              <w:t>(112)</w:t>
            </w:r>
          </w:p>
        </w:tc>
      </w:tr>
      <w:tr>
        <w:trPr/>
        <w:tc>
          <w:tcPr>
            <w:tcW w:w="2780" w:type="dxa"/>
            <w:tcBorders/>
            <w:shd w:fill="D5EAEA" w:val="clear"/>
            <w:vAlign w:val="center"/>
          </w:tcPr>
          <w:p>
            <w:pPr>
              <w:pStyle w:val="TableContents"/>
              <w:bidi w:val="0"/>
              <w:spacing w:before="0" w:after="283"/>
              <w:jc w:val="left"/>
              <w:rPr>
                <w:sz w:val="20"/>
              </w:rPr>
            </w:pPr>
            <w:r>
              <w:rPr>
                <w:sz w:val="20"/>
              </w:rPr>
              <w:t>Vested</w:t>
            </w:r>
          </w:p>
        </w:tc>
        <w:tc>
          <w:tcPr>
            <w:tcW w:w="92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c>
          <w:tcPr>
            <w:tcW w:w="794"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(61)</w:t>
            </w:r>
          </w:p>
        </w:tc>
        <w:tc>
          <w:tcPr>
            <w:tcW w:w="1850"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w:t>
            </w:r>
          </w:p>
        </w:tc>
      </w:tr>
      <w:tr>
        <w:trPr/>
        <w:tc>
          <w:tcPr>
            <w:tcW w:w="2780" w:type="dxa"/>
            <w:tcBorders/>
            <w:shd w:fill="FFFFFF" w:val="clear"/>
            <w:vAlign w:val="center"/>
          </w:tcPr>
          <w:p>
            <w:pPr>
              <w:pStyle w:val="TableContents"/>
              <w:bidi w:val="0"/>
              <w:spacing w:before="0" w:after="283"/>
              <w:jc w:val="left"/>
              <w:rPr>
                <w:b/>
                <w:sz w:val="20"/>
              </w:rPr>
            </w:pPr>
            <w:r>
              <w:rPr>
                <w:b/>
                <w:sz w:val="20"/>
              </w:rPr>
              <w:t>Outstanding, December 31, 2025</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105</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65</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260</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2,770</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1,944</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483</w:t>
            </w:r>
          </w:p>
        </w:tc>
        <w:tc>
          <w:tcPr>
            <w:tcW w:w="185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2,353</w:t>
            </w:r>
          </w:p>
        </w:tc>
      </w:tr>
      <w:tr>
        <w:trPr/>
        <w:tc>
          <w:tcPr>
            <w:tcW w:w="2780" w:type="dxa"/>
            <w:tcBorders/>
            <w:shd w:fill="D5EAEA" w:val="clear"/>
            <w:vAlign w:val="center"/>
          </w:tcPr>
          <w:p>
            <w:pPr>
              <w:pStyle w:val="TableContents"/>
              <w:bidi w:val="0"/>
              <w:spacing w:before="0" w:after="283"/>
              <w:jc w:val="left"/>
              <w:rPr>
                <w:sz w:val="20"/>
              </w:rPr>
            </w:pPr>
            <w:r>
              <w:rPr>
                <w:sz w:val="20"/>
              </w:rPr>
              <w:t>Granted</w:t>
            </w:r>
          </w:p>
        </w:tc>
        <w:tc>
          <w:tcPr>
            <w:tcW w:w="92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sz w:val="20"/>
              </w:rPr>
            </w:pPr>
            <w:r>
              <w:rPr>
                <w:sz w:val="20"/>
              </w:rPr>
              <w:t>-</w:t>
            </w:r>
          </w:p>
        </w:tc>
        <w:tc>
          <w:tcPr>
            <w:tcW w:w="710" w:type="dxa"/>
            <w:tcBorders/>
            <w:shd w:fill="D5EAEA" w:val="clear"/>
            <w:vAlign w:val="center"/>
          </w:tcPr>
          <w:p>
            <w:pPr>
              <w:pStyle w:val="TableContents"/>
              <w:bidi w:val="0"/>
              <w:spacing w:before="0" w:after="283"/>
              <w:jc w:val="right"/>
              <w:rPr>
                <w:sz w:val="20"/>
              </w:rPr>
            </w:pPr>
            <w:r>
              <w:rPr>
                <w:sz w:val="20"/>
              </w:rPr>
              <w:t>1,708</w:t>
            </w:r>
          </w:p>
        </w:tc>
        <w:tc>
          <w:tcPr>
            <w:tcW w:w="794" w:type="dxa"/>
            <w:tcBorders/>
            <w:shd w:fill="D5EAEA" w:val="clear"/>
            <w:vAlign w:val="center"/>
          </w:tcPr>
          <w:p>
            <w:pPr>
              <w:pStyle w:val="TableContents"/>
              <w:bidi w:val="0"/>
              <w:spacing w:before="0" w:after="283"/>
              <w:jc w:val="right"/>
              <w:rPr>
                <w:sz w:val="20"/>
              </w:rPr>
            </w:pPr>
            <w:r>
              <w:rPr>
                <w:sz w:val="20"/>
              </w:rPr>
              <w:t>-</w:t>
            </w:r>
          </w:p>
        </w:tc>
        <w:tc>
          <w:tcPr>
            <w:tcW w:w="1850" w:type="dxa"/>
            <w:tcBorders/>
            <w:shd w:fill="D5EAEA" w:val="clear"/>
            <w:vAlign w:val="center"/>
          </w:tcPr>
          <w:p>
            <w:pPr>
              <w:pStyle w:val="TableContents"/>
              <w:bidi w:val="0"/>
              <w:spacing w:before="0" w:after="283"/>
              <w:jc w:val="right"/>
              <w:rPr>
                <w:sz w:val="20"/>
              </w:rPr>
            </w:pPr>
            <w:r>
              <w:rPr>
                <w:sz w:val="20"/>
              </w:rPr>
              <w:t>1,296</w:t>
            </w:r>
          </w:p>
        </w:tc>
      </w:tr>
      <w:tr>
        <w:trPr/>
        <w:tc>
          <w:tcPr>
            <w:tcW w:w="2780" w:type="dxa"/>
            <w:tcBorders/>
            <w:shd w:fill="FFFFFF" w:val="clear"/>
            <w:vAlign w:val="center"/>
          </w:tcPr>
          <w:p>
            <w:pPr>
              <w:pStyle w:val="TableContents"/>
              <w:bidi w:val="0"/>
              <w:spacing w:before="0" w:after="283"/>
              <w:jc w:val="left"/>
              <w:rPr>
                <w:sz w:val="20"/>
              </w:rPr>
            </w:pPr>
            <w:r>
              <w:rPr>
                <w:sz w:val="20"/>
              </w:rPr>
              <w:t>Vested</w:t>
            </w:r>
          </w:p>
        </w:tc>
        <w:tc>
          <w:tcPr>
            <w:tcW w:w="920" w:type="dxa"/>
            <w:tcBorders/>
            <w:shd w:fill="FFFFFF" w:val="clear"/>
            <w:vAlign w:val="center"/>
          </w:tcPr>
          <w:p>
            <w:pPr>
              <w:pStyle w:val="TableContents"/>
              <w:bidi w:val="0"/>
              <w:spacing w:before="0" w:after="283"/>
              <w:jc w:val="right"/>
              <w:rPr>
                <w:sz w:val="20"/>
              </w:rPr>
            </w:pPr>
            <w:r>
              <w:rPr>
                <w:sz w:val="20"/>
              </w:rPr>
              <w:t>-</w:t>
            </w:r>
          </w:p>
        </w:tc>
        <w:tc>
          <w:tcPr>
            <w:tcW w:w="710" w:type="dxa"/>
            <w:tcBorders/>
            <w:shd w:fill="FFFFFF" w:val="clear"/>
            <w:vAlign w:val="center"/>
          </w:tcPr>
          <w:p>
            <w:pPr>
              <w:pStyle w:val="TableContents"/>
              <w:bidi w:val="0"/>
              <w:spacing w:before="0" w:after="283"/>
              <w:jc w:val="right"/>
              <w:rPr>
                <w:sz w:val="20"/>
              </w:rPr>
            </w:pPr>
            <w:r>
              <w:rPr>
                <w:sz w:val="20"/>
              </w:rPr>
              <w:t>-</w:t>
            </w:r>
          </w:p>
        </w:tc>
        <w:tc>
          <w:tcPr>
            <w:tcW w:w="710" w:type="dxa"/>
            <w:tcBorders/>
            <w:shd w:fill="FFFFFF" w:val="clear"/>
            <w:vAlign w:val="center"/>
          </w:tcPr>
          <w:p>
            <w:pPr>
              <w:pStyle w:val="TableContents"/>
              <w:bidi w:val="0"/>
              <w:spacing w:before="0" w:after="283"/>
              <w:jc w:val="right"/>
              <w:rPr>
                <w:sz w:val="20"/>
              </w:rPr>
            </w:pPr>
            <w:r>
              <w:rPr>
                <w:sz w:val="20"/>
              </w:rPr>
              <w:t>-</w:t>
            </w:r>
          </w:p>
        </w:tc>
        <w:tc>
          <w:tcPr>
            <w:tcW w:w="710" w:type="dxa"/>
            <w:tcBorders/>
            <w:shd w:fill="FFFFFF" w:val="clear"/>
            <w:vAlign w:val="center"/>
          </w:tcPr>
          <w:p>
            <w:pPr>
              <w:pStyle w:val="TableContents"/>
              <w:bidi w:val="0"/>
              <w:spacing w:before="0" w:after="283"/>
              <w:jc w:val="right"/>
              <w:rPr>
                <w:sz w:val="20"/>
              </w:rPr>
            </w:pPr>
            <w:r>
              <w:rPr>
                <w:sz w:val="20"/>
              </w:rPr>
              <w:t>-</w:t>
            </w:r>
          </w:p>
        </w:tc>
        <w:tc>
          <w:tcPr>
            <w:tcW w:w="710" w:type="dxa"/>
            <w:tcBorders/>
            <w:shd w:fill="FFFFFF" w:val="clear"/>
            <w:vAlign w:val="center"/>
          </w:tcPr>
          <w:p>
            <w:pPr>
              <w:pStyle w:val="TableContents"/>
              <w:bidi w:val="0"/>
              <w:spacing w:before="0" w:after="283"/>
              <w:jc w:val="right"/>
              <w:rPr>
                <w:sz w:val="20"/>
              </w:rPr>
            </w:pPr>
            <w:r>
              <w:rPr>
                <w:sz w:val="20"/>
              </w:rPr>
              <w:t>-</w:t>
            </w:r>
          </w:p>
        </w:tc>
        <w:tc>
          <w:tcPr>
            <w:tcW w:w="710" w:type="dxa"/>
            <w:tcBorders/>
            <w:shd w:fill="FFFFFF" w:val="clear"/>
            <w:vAlign w:val="center"/>
          </w:tcPr>
          <w:p>
            <w:pPr>
              <w:pStyle w:val="TableContents"/>
              <w:bidi w:val="0"/>
              <w:spacing w:before="0" w:after="283"/>
              <w:jc w:val="right"/>
              <w:rPr>
                <w:sz w:val="20"/>
              </w:rPr>
            </w:pPr>
            <w:r>
              <w:rPr>
                <w:sz w:val="20"/>
              </w:rPr>
              <w:t>-</w:t>
            </w:r>
          </w:p>
        </w:tc>
        <w:tc>
          <w:tcPr>
            <w:tcW w:w="794" w:type="dxa"/>
            <w:tcBorders/>
            <w:shd w:fill="FFFFFF" w:val="clear"/>
            <w:vAlign w:val="center"/>
          </w:tcPr>
          <w:p>
            <w:pPr>
              <w:pStyle w:val="TableContents"/>
              <w:bidi w:val="0"/>
              <w:spacing w:before="0" w:after="283"/>
              <w:jc w:val="right"/>
              <w:rPr>
                <w:sz w:val="20"/>
              </w:rPr>
            </w:pPr>
            <w:r>
              <w:rPr>
                <w:sz w:val="20"/>
              </w:rPr>
              <w:t>-</w:t>
            </w:r>
          </w:p>
        </w:tc>
        <w:tc>
          <w:tcPr>
            <w:tcW w:w="1850" w:type="dxa"/>
            <w:tcBorders/>
            <w:shd w:fill="FFFFFF" w:val="clear"/>
            <w:vAlign w:val="center"/>
          </w:tcPr>
          <w:p>
            <w:pPr>
              <w:pStyle w:val="TableContents"/>
              <w:bidi w:val="0"/>
              <w:spacing w:before="0" w:after="283"/>
              <w:jc w:val="right"/>
              <w:rPr>
                <w:sz w:val="20"/>
              </w:rPr>
            </w:pPr>
            <w:r>
              <w:rPr>
                <w:sz w:val="20"/>
              </w:rPr>
              <w:t>-</w:t>
            </w:r>
          </w:p>
        </w:tc>
      </w:tr>
      <w:tr>
        <w:trPr/>
        <w:tc>
          <w:tcPr>
            <w:tcW w:w="2780" w:type="dxa"/>
            <w:tcBorders/>
            <w:shd w:fill="D5EAEA" w:val="clear"/>
            <w:vAlign w:val="center"/>
          </w:tcPr>
          <w:p>
            <w:pPr>
              <w:pStyle w:val="TableContents"/>
              <w:bidi w:val="0"/>
              <w:spacing w:before="0" w:after="283"/>
              <w:jc w:val="left"/>
              <w:rPr>
                <w:sz w:val="20"/>
              </w:rPr>
            </w:pPr>
            <w:r>
              <w:rPr>
                <w:sz w:val="20"/>
              </w:rPr>
              <w:t>Forfeited</w:t>
            </w:r>
          </w:p>
        </w:tc>
        <w:tc>
          <w:tcPr>
            <w:tcW w:w="92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794"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185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r>
      <w:tr>
        <w:trPr/>
        <w:tc>
          <w:tcPr>
            <w:tcW w:w="2780" w:type="dxa"/>
            <w:tcBorders/>
            <w:shd w:fill="FFFFFF" w:val="clear"/>
            <w:vAlign w:val="center"/>
          </w:tcPr>
          <w:p>
            <w:pPr>
              <w:pStyle w:val="TableContents"/>
              <w:bidi w:val="0"/>
              <w:spacing w:before="0" w:after="283"/>
              <w:jc w:val="left"/>
              <w:rPr>
                <w:b/>
                <w:sz w:val="20"/>
              </w:rPr>
            </w:pPr>
            <w:r>
              <w:rPr>
                <w:b/>
                <w:sz w:val="20"/>
              </w:rPr>
              <w:t>Outstanding, June 30, 2026</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105</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65</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260</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2,770</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1,944</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1,708</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483</w:t>
            </w:r>
          </w:p>
        </w:tc>
        <w:tc>
          <w:tcPr>
            <w:tcW w:w="185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3,649</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fair value of PSU and RSU shares was determined on the grant date and calculated based on a Monte Carlo simulation, which incorporates the effects of the performance conditions on the fair value. Dividends were not considered separately in the model since the participants are compensated with more shares when dividends are distributed during the vesting period and the Total Shareholder Return (“TSR”) performance condition already considers dividends distributed as part of the calculation.</w:t>
      </w:r>
    </w:p>
    <w:p>
      <w:pPr>
        <w:pStyle w:val="TextBody"/>
        <w:bidi w:val="0"/>
        <w:spacing w:before="0" w:after="0"/>
        <w:ind w:left="0" w:right="0" w:hanging="0"/>
        <w:jc w:val="both"/>
        <w:rPr>
          <w:caps w:val="false"/>
          <w:smallCaps w:val="false"/>
        </w:rPr>
      </w:pPr>
      <w:r>
        <w:rPr>
          <w:caps w:val="false"/>
          <w:smallCaps w:val="false"/>
        </w:rPr>
        <w:t> </w:t>
      </w:r>
    </w:p>
    <w:tbl>
      <w:tblPr>
        <w:tblW w:w="5520" w:type="dxa"/>
        <w:jc w:val="center"/>
        <w:tblInd w:w="0" w:type="dxa"/>
        <w:tblLayout w:type="fixed"/>
        <w:tblCellMar>
          <w:top w:w="0" w:type="dxa"/>
          <w:left w:w="0" w:type="dxa"/>
          <w:bottom w:w="28" w:type="dxa"/>
          <w:right w:w="0" w:type="dxa"/>
        </w:tblCellMar>
      </w:tblPr>
      <w:tblGrid>
        <w:gridCol w:w="1550"/>
        <w:gridCol w:w="1505"/>
        <w:gridCol w:w="2465"/>
      </w:tblGrid>
      <w:tr>
        <w:trPr/>
        <w:tc>
          <w:tcPr>
            <w:tcW w:w="1550" w:type="dxa"/>
            <w:tcBorders>
              <w:bottom w:val="single" w:sz="8" w:space="0" w:color="000000"/>
            </w:tcBorders>
            <w:vAlign w:val="center"/>
          </w:tcPr>
          <w:p>
            <w:pPr>
              <w:pStyle w:val="TableContents"/>
              <w:bidi w:val="0"/>
              <w:spacing w:before="0" w:after="283"/>
              <w:jc w:val="center"/>
              <w:rPr>
                <w:b/>
                <w:sz w:val="20"/>
              </w:rPr>
            </w:pPr>
            <w:r>
              <w:rPr>
                <w:b/>
                <w:sz w:val="20"/>
              </w:rPr>
              <w:t>LTIP</w:t>
            </w:r>
          </w:p>
        </w:tc>
        <w:tc>
          <w:tcPr>
            <w:tcW w:w="1505" w:type="dxa"/>
            <w:tcBorders>
              <w:bottom w:val="single" w:sz="8" w:space="0" w:color="000000"/>
            </w:tcBorders>
            <w:vAlign w:val="center"/>
          </w:tcPr>
          <w:p>
            <w:pPr>
              <w:pStyle w:val="TableContents"/>
              <w:bidi w:val="0"/>
              <w:spacing w:before="0" w:after="283"/>
              <w:jc w:val="center"/>
              <w:rPr>
                <w:b/>
                <w:sz w:val="20"/>
              </w:rPr>
            </w:pPr>
            <w:r>
              <w:rPr>
                <w:b/>
                <w:sz w:val="20"/>
              </w:rPr>
              <w:t>Grant date</w:t>
            </w:r>
          </w:p>
        </w:tc>
        <w:tc>
          <w:tcPr>
            <w:tcW w:w="2465" w:type="dxa"/>
            <w:tcBorders>
              <w:bottom w:val="single" w:sz="8" w:space="0" w:color="000000"/>
            </w:tcBorders>
            <w:vAlign w:val="center"/>
          </w:tcPr>
          <w:p>
            <w:pPr>
              <w:pStyle w:val="TableContents"/>
              <w:bidi w:val="0"/>
              <w:spacing w:before="0" w:after="283"/>
              <w:jc w:val="center"/>
              <w:rPr>
                <w:b/>
                <w:sz w:val="20"/>
              </w:rPr>
            </w:pPr>
            <w:r>
              <w:rPr>
                <w:b/>
                <w:sz w:val="20"/>
              </w:rPr>
              <w:t>Weighted-average fair value</w:t>
            </w:r>
          </w:p>
        </w:tc>
      </w:tr>
      <w:tr>
        <w:trPr/>
        <w:tc>
          <w:tcPr>
            <w:tcW w:w="1550" w:type="dxa"/>
            <w:tcBorders/>
            <w:shd w:fill="D5EAEA" w:val="clear"/>
            <w:tcMar>
              <w:bottom w:w="0" w:type="dxa"/>
            </w:tcMar>
            <w:vAlign w:val="center"/>
          </w:tcPr>
          <w:p>
            <w:pPr>
              <w:pStyle w:val="TableContents"/>
              <w:bidi w:val="0"/>
              <w:spacing w:before="0" w:after="283"/>
              <w:jc w:val="both"/>
              <w:rPr>
                <w:sz w:val="20"/>
              </w:rPr>
            </w:pPr>
            <w:r>
              <w:rPr>
                <w:sz w:val="20"/>
              </w:rPr>
              <w:t>IPO grant</w:t>
            </w:r>
          </w:p>
        </w:tc>
        <w:tc>
          <w:tcPr>
            <w:tcW w:w="1505" w:type="dxa"/>
            <w:tcBorders/>
            <w:shd w:fill="D5EAEA"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22, 2021</w:t>
            </w:r>
          </w:p>
        </w:tc>
        <w:tc>
          <w:tcPr>
            <w:tcW w:w="2465" w:type="dxa"/>
            <w:tcBorders/>
            <w:shd w:fill="D5EAEA"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US$ 13.05</w:t>
            </w:r>
          </w:p>
        </w:tc>
      </w:tr>
      <w:tr>
        <w:trPr/>
        <w:tc>
          <w:tcPr>
            <w:tcW w:w="1550" w:type="dxa"/>
            <w:tcBorders/>
            <w:shd w:fill="FFFFFF" w:val="clear"/>
            <w:tcMar>
              <w:bottom w:w="0" w:type="dxa"/>
            </w:tcMar>
            <w:vAlign w:val="center"/>
          </w:tcPr>
          <w:p>
            <w:pPr>
              <w:pStyle w:val="TableContents"/>
              <w:bidi w:val="0"/>
              <w:spacing w:before="0" w:after="283"/>
              <w:jc w:val="both"/>
              <w:rPr>
                <w:sz w:val="20"/>
              </w:rPr>
            </w:pPr>
            <w:r>
              <w:rPr>
                <w:sz w:val="20"/>
              </w:rPr>
              <w:t>Grant A</w:t>
            </w:r>
          </w:p>
        </w:tc>
        <w:tc>
          <w:tcPr>
            <w:tcW w:w="15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1, 2022</w:t>
            </w:r>
          </w:p>
        </w:tc>
        <w:tc>
          <w:tcPr>
            <w:tcW w:w="24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US$ 8.80</w:t>
            </w:r>
          </w:p>
        </w:tc>
      </w:tr>
      <w:tr>
        <w:trPr/>
        <w:tc>
          <w:tcPr>
            <w:tcW w:w="1550" w:type="dxa"/>
            <w:tcBorders/>
            <w:shd w:fill="D5EAEA" w:val="clear"/>
            <w:tcMar>
              <w:bottom w:w="0" w:type="dxa"/>
            </w:tcMar>
            <w:vAlign w:val="center"/>
          </w:tcPr>
          <w:p>
            <w:pPr>
              <w:pStyle w:val="TableContents"/>
              <w:bidi w:val="0"/>
              <w:spacing w:before="0" w:after="283"/>
              <w:jc w:val="both"/>
              <w:rPr>
                <w:sz w:val="20"/>
              </w:rPr>
            </w:pPr>
            <w:r>
              <w:rPr>
                <w:sz w:val="20"/>
              </w:rPr>
              <w:t>Grant B</w:t>
            </w:r>
          </w:p>
        </w:tc>
        <w:tc>
          <w:tcPr>
            <w:tcW w:w="1505" w:type="dxa"/>
            <w:tcBorders/>
            <w:shd w:fill="D5EAEA"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22, 2023</w:t>
            </w:r>
          </w:p>
        </w:tc>
        <w:tc>
          <w:tcPr>
            <w:tcW w:w="2465" w:type="dxa"/>
            <w:tcBorders/>
            <w:shd w:fill="D5EAEA"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US$ 12.37</w:t>
            </w:r>
          </w:p>
        </w:tc>
      </w:tr>
      <w:tr>
        <w:trPr/>
        <w:tc>
          <w:tcPr>
            <w:tcW w:w="1550" w:type="dxa"/>
            <w:tcBorders/>
            <w:shd w:fill="FFFFFF" w:val="clear"/>
            <w:tcMar>
              <w:bottom w:w="0" w:type="dxa"/>
            </w:tcMar>
            <w:vAlign w:val="center"/>
          </w:tcPr>
          <w:p>
            <w:pPr>
              <w:pStyle w:val="TableContents"/>
              <w:bidi w:val="0"/>
              <w:spacing w:before="0" w:after="283"/>
              <w:jc w:val="both"/>
              <w:rPr>
                <w:sz w:val="20"/>
              </w:rPr>
            </w:pPr>
            <w:r>
              <w:rPr>
                <w:sz w:val="20"/>
              </w:rPr>
              <w:t>Grant C - PSU</w:t>
            </w:r>
          </w:p>
        </w:tc>
        <w:tc>
          <w:tcPr>
            <w:tcW w:w="15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19, 2024</w:t>
            </w:r>
          </w:p>
        </w:tc>
        <w:tc>
          <w:tcPr>
            <w:tcW w:w="24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US$ 9.99</w:t>
            </w:r>
          </w:p>
        </w:tc>
      </w:tr>
      <w:tr>
        <w:trPr/>
        <w:tc>
          <w:tcPr>
            <w:tcW w:w="1550" w:type="dxa"/>
            <w:tcBorders/>
            <w:shd w:fill="D5EAEA" w:val="clear"/>
            <w:tcMar>
              <w:bottom w:w="0" w:type="dxa"/>
            </w:tcMar>
            <w:vAlign w:val="center"/>
          </w:tcPr>
          <w:p>
            <w:pPr>
              <w:pStyle w:val="TableContents"/>
              <w:bidi w:val="0"/>
              <w:spacing w:before="0" w:after="283"/>
              <w:jc w:val="both"/>
              <w:rPr>
                <w:sz w:val="20"/>
              </w:rPr>
            </w:pPr>
            <w:r>
              <w:rPr>
                <w:sz w:val="20"/>
              </w:rPr>
              <w:t>Grant C - RSU</w:t>
            </w:r>
          </w:p>
        </w:tc>
        <w:tc>
          <w:tcPr>
            <w:tcW w:w="1505" w:type="dxa"/>
            <w:tcBorders/>
            <w:shd w:fill="D5EAEA"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June 30, 2024</w:t>
            </w:r>
          </w:p>
        </w:tc>
        <w:tc>
          <w:tcPr>
            <w:tcW w:w="2465" w:type="dxa"/>
            <w:tcBorders/>
            <w:shd w:fill="D5EAEA"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US$ 12.06</w:t>
            </w:r>
          </w:p>
        </w:tc>
      </w:tr>
      <w:tr>
        <w:trPr/>
        <w:tc>
          <w:tcPr>
            <w:tcW w:w="1550" w:type="dxa"/>
            <w:tcBorders/>
            <w:shd w:fill="FFFFFF" w:val="clear"/>
            <w:tcMar>
              <w:bottom w:w="0" w:type="dxa"/>
            </w:tcMar>
            <w:vAlign w:val="center"/>
          </w:tcPr>
          <w:p>
            <w:pPr>
              <w:pStyle w:val="TableContents"/>
              <w:bidi w:val="0"/>
              <w:spacing w:before="0" w:after="283"/>
              <w:jc w:val="both"/>
              <w:rPr>
                <w:sz w:val="20"/>
              </w:rPr>
            </w:pPr>
            <w:r>
              <w:rPr>
                <w:sz w:val="20"/>
              </w:rPr>
              <w:t>Grant D - PSU</w:t>
            </w:r>
          </w:p>
        </w:tc>
        <w:tc>
          <w:tcPr>
            <w:tcW w:w="15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22, 2025</w:t>
            </w:r>
          </w:p>
        </w:tc>
        <w:tc>
          <w:tcPr>
            <w:tcW w:w="24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US$ 7.51</w:t>
            </w:r>
          </w:p>
        </w:tc>
      </w:tr>
      <w:tr>
        <w:trPr/>
        <w:tc>
          <w:tcPr>
            <w:tcW w:w="1550" w:type="dxa"/>
            <w:tcBorders/>
            <w:shd w:fill="D5EAEA" w:val="clear"/>
            <w:tcMar>
              <w:bottom w:w="0" w:type="dxa"/>
            </w:tcMar>
            <w:vAlign w:val="center"/>
          </w:tcPr>
          <w:p>
            <w:pPr>
              <w:pStyle w:val="TableContents"/>
              <w:bidi w:val="0"/>
              <w:spacing w:before="0" w:after="283"/>
              <w:jc w:val="both"/>
              <w:rPr>
                <w:sz w:val="20"/>
              </w:rPr>
            </w:pPr>
            <w:r>
              <w:rPr>
                <w:sz w:val="20"/>
              </w:rPr>
              <w:t>Grant E - PSU</w:t>
            </w:r>
          </w:p>
        </w:tc>
        <w:tc>
          <w:tcPr>
            <w:tcW w:w="1505" w:type="dxa"/>
            <w:tcBorders/>
            <w:shd w:fill="D5EAEA"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27, 2026</w:t>
            </w:r>
          </w:p>
        </w:tc>
        <w:tc>
          <w:tcPr>
            <w:tcW w:w="2465" w:type="dxa"/>
            <w:tcBorders/>
            <w:shd w:fill="D5EAEA"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US$ 5.22</w:t>
            </w:r>
          </w:p>
        </w:tc>
      </w:tr>
      <w:tr>
        <w:trPr/>
        <w:tc>
          <w:tcPr>
            <w:tcW w:w="1550" w:type="dxa"/>
            <w:tcBorders/>
            <w:shd w:fill="FFFFFF" w:val="clear"/>
            <w:tcMar>
              <w:bottom w:w="0" w:type="dxa"/>
            </w:tcMar>
            <w:vAlign w:val="center"/>
          </w:tcPr>
          <w:p>
            <w:pPr>
              <w:pStyle w:val="TableContents"/>
              <w:bidi w:val="0"/>
              <w:spacing w:before="0" w:after="283"/>
              <w:jc w:val="both"/>
              <w:rPr>
                <w:sz w:val="20"/>
              </w:rPr>
            </w:pPr>
            <w:r>
              <w:rPr>
                <w:sz w:val="20"/>
              </w:rPr>
              <w:t>Matching program</w:t>
            </w:r>
          </w:p>
        </w:tc>
        <w:tc>
          <w:tcPr>
            <w:tcW w:w="15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28, 2024</w:t>
            </w:r>
          </w:p>
        </w:tc>
        <w:tc>
          <w:tcPr>
            <w:tcW w:w="24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US$ 14.89</w:t>
            </w:r>
          </w:p>
        </w:tc>
      </w:tr>
      <w:tr>
        <w:trPr/>
        <w:tc>
          <w:tcPr>
            <w:tcW w:w="1550" w:type="dxa"/>
            <w:tcBorders/>
            <w:shd w:fill="D5EAEA" w:val="clear"/>
            <w:tcMar>
              <w:bottom w:w="0" w:type="dxa"/>
            </w:tcMar>
            <w:vAlign w:val="center"/>
          </w:tcPr>
          <w:p>
            <w:pPr>
              <w:pStyle w:val="TableContents"/>
              <w:bidi w:val="0"/>
              <w:spacing w:before="0" w:after="283"/>
              <w:jc w:val="both"/>
              <w:rPr>
                <w:sz w:val="20"/>
              </w:rPr>
            </w:pPr>
            <w:r>
              <w:rPr>
                <w:sz w:val="20"/>
              </w:rPr>
              <w:t>Matching program</w:t>
            </w:r>
          </w:p>
        </w:tc>
        <w:tc>
          <w:tcPr>
            <w:tcW w:w="1505" w:type="dxa"/>
            <w:tcBorders/>
            <w:shd w:fill="D5EAEA"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28, 2025</w:t>
            </w:r>
          </w:p>
        </w:tc>
        <w:tc>
          <w:tcPr>
            <w:tcW w:w="2465" w:type="dxa"/>
            <w:tcBorders/>
            <w:shd w:fill="D5EAEA"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US$ 9.12</w:t>
            </w:r>
          </w:p>
        </w:tc>
      </w:tr>
      <w:tr>
        <w:trPr/>
        <w:tc>
          <w:tcPr>
            <w:tcW w:w="1550" w:type="dxa"/>
            <w:tcBorders/>
            <w:shd w:fill="FFFFFF" w:val="clear"/>
            <w:tcMar>
              <w:bottom w:w="0" w:type="dxa"/>
            </w:tcMar>
            <w:vAlign w:val="center"/>
          </w:tcPr>
          <w:p>
            <w:pPr>
              <w:pStyle w:val="TableContents"/>
              <w:bidi w:val="0"/>
              <w:spacing w:before="0" w:after="283"/>
              <w:jc w:val="both"/>
              <w:rPr>
                <w:sz w:val="20"/>
              </w:rPr>
            </w:pPr>
            <w:r>
              <w:rPr>
                <w:sz w:val="20"/>
              </w:rPr>
              <w:t>Matching program</w:t>
            </w:r>
          </w:p>
        </w:tc>
        <w:tc>
          <w:tcPr>
            <w:tcW w:w="15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27, 2026</w:t>
            </w:r>
          </w:p>
        </w:tc>
        <w:tc>
          <w:tcPr>
            <w:tcW w:w="24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US$ 10.75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capital reserves:</w:t>
      </w:r>
    </w:p>
    <w:p>
      <w:pPr>
        <w:pStyle w:val="TextBody"/>
        <w:bidi w:val="0"/>
        <w:spacing w:before="0" w:after="0"/>
        <w:ind w:left="0" w:right="0" w:hanging="0"/>
        <w:jc w:val="both"/>
        <w:rPr>
          <w:caps w:val="false"/>
          <w:smallCaps w:val="false"/>
        </w:rPr>
      </w:pPr>
      <w:r>
        <w:rPr>
          <w:caps w:val="false"/>
          <w:smallCaps w:val="false"/>
        </w:rPr>
        <w:t> </w:t>
      </w:r>
    </w:p>
    <w:tbl>
      <w:tblPr>
        <w:tblW w:w="5820" w:type="dxa"/>
        <w:jc w:val="center"/>
        <w:tblInd w:w="0" w:type="dxa"/>
        <w:tblLayout w:type="fixed"/>
        <w:tblCellMar>
          <w:top w:w="28" w:type="dxa"/>
          <w:left w:w="0" w:type="dxa"/>
          <w:bottom w:w="28" w:type="dxa"/>
          <w:right w:w="0" w:type="dxa"/>
        </w:tblCellMar>
      </w:tblPr>
      <w:tblGrid>
        <w:gridCol w:w="4385"/>
        <w:gridCol w:w="710"/>
        <w:gridCol w:w="725"/>
      </w:tblGrid>
      <w:tr>
        <w:trPr/>
        <w:tc>
          <w:tcPr>
            <w:tcW w:w="4385" w:type="dxa"/>
            <w:tcBorders>
              <w:top w:val="single" w:sz="8" w:space="0" w:color="000000"/>
              <w:bottom w:val="single" w:sz="8" w:space="0" w:color="000000"/>
            </w:tcBorders>
            <w:vAlign w:val="center"/>
          </w:tcPr>
          <w:p>
            <w:pPr>
              <w:pStyle w:val="TableContents"/>
              <w:bidi w:val="0"/>
              <w:spacing w:before="0" w:after="283"/>
              <w:jc w:val="both"/>
              <w:rPr>
                <w:b/>
                <w:sz w:val="20"/>
              </w:rPr>
            </w:pPr>
            <w:r>
              <w:rPr>
                <w:b/>
                <w:sz w:val="20"/>
              </w:rPr>
              <w:t>Description</w:t>
            </w:r>
          </w:p>
        </w:tc>
        <w:tc>
          <w:tcPr>
            <w:tcW w:w="710" w:type="dxa"/>
            <w:tcBorders>
              <w:top w:val="single" w:sz="8" w:space="0" w:color="000000"/>
              <w:bottom w:val="single" w:sz="8" w:space="0" w:color="000000"/>
            </w:tcBorders>
            <w:vAlign w:val="center"/>
          </w:tcPr>
          <w:p>
            <w:pPr>
              <w:pStyle w:val="TableContents"/>
              <w:bidi w:val="0"/>
              <w:spacing w:before="0" w:after="283"/>
              <w:jc w:val="right"/>
              <w:rPr>
                <w:b/>
                <w:sz w:val="20"/>
              </w:rPr>
            </w:pPr>
            <w:r>
              <w:rPr>
                <w:b/>
                <w:sz w:val="20"/>
              </w:rPr>
              <w:t>2026</w:t>
            </w:r>
          </w:p>
        </w:tc>
        <w:tc>
          <w:tcPr>
            <w:tcW w:w="725" w:type="dxa"/>
            <w:tcBorders>
              <w:top w:val="single" w:sz="8" w:space="0" w:color="000000"/>
              <w:bottom w:val="single" w:sz="8" w:space="0" w:color="000000"/>
            </w:tcBorders>
            <w:vAlign w:val="center"/>
          </w:tcPr>
          <w:p>
            <w:pPr>
              <w:pStyle w:val="TableContents"/>
              <w:bidi w:val="0"/>
              <w:spacing w:before="0" w:after="283"/>
              <w:jc w:val="right"/>
              <w:rPr>
                <w:b/>
                <w:sz w:val="20"/>
              </w:rPr>
            </w:pPr>
            <w:r>
              <w:rPr>
                <w:b/>
                <w:sz w:val="20"/>
              </w:rPr>
              <w:t>2025</w:t>
            </w:r>
          </w:p>
        </w:tc>
      </w:tr>
      <w:tr>
        <w:trPr/>
        <w:tc>
          <w:tcPr>
            <w:tcW w:w="4385" w:type="dxa"/>
            <w:tcBorders/>
            <w:shd w:fill="D5EAEA" w:val="clear"/>
            <w:tcMar>
              <w:top w:w="0" w:type="dxa"/>
              <w:bottom w:w="0" w:type="dxa"/>
            </w:tcMar>
            <w:vAlign w:val="center"/>
          </w:tcPr>
          <w:p>
            <w:pPr>
              <w:pStyle w:val="TableContents"/>
              <w:bidi w:val="0"/>
              <w:spacing w:before="0" w:after="283"/>
              <w:jc w:val="both"/>
              <w:rPr>
                <w:b/>
                <w:sz w:val="20"/>
              </w:rPr>
            </w:pPr>
            <w:r>
              <w:rPr>
                <w:b/>
                <w:sz w:val="20"/>
              </w:rPr>
              <w:t>Opening balance – January 01</w:t>
            </w:r>
          </w:p>
        </w:tc>
        <w:tc>
          <w:tcPr>
            <w:tcW w:w="710" w:type="dxa"/>
            <w:tcBorders/>
            <w:shd w:fill="D5EAEA" w:val="clear"/>
            <w:tcMar>
              <w:top w:w="0" w:type="dxa"/>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46,646</w:t>
            </w:r>
          </w:p>
        </w:tc>
        <w:tc>
          <w:tcPr>
            <w:tcW w:w="725" w:type="dxa"/>
            <w:tcBorders/>
            <w:shd w:fill="D5EAEA" w:val="clear"/>
            <w:tcMar>
              <w:top w:w="0" w:type="dxa"/>
              <w:bottom w:w="0" w:type="dxa"/>
            </w:tcMar>
            <w:vAlign w:val="center"/>
          </w:tcPr>
          <w:p>
            <w:pPr>
              <w:pStyle w:val="TableContents"/>
              <w:bidi w:val="0"/>
              <w:spacing w:before="0" w:after="283"/>
              <w:jc w:val="right"/>
              <w:rPr>
                <w:b/>
                <w:sz w:val="20"/>
              </w:rPr>
            </w:pPr>
            <w:r>
              <w:rPr>
                <w:b/>
                <w:sz w:val="20"/>
              </w:rPr>
              <w:t>22,041</w:t>
            </w:r>
          </w:p>
        </w:tc>
      </w:tr>
      <w:tr>
        <w:trPr/>
        <w:tc>
          <w:tcPr>
            <w:tcW w:w="4385" w:type="dxa"/>
            <w:tcBorders/>
            <w:shd w:fill="FFFFFF" w:val="clear"/>
            <w:tcMar>
              <w:top w:w="0" w:type="dxa"/>
              <w:bottom w:w="0" w:type="dxa"/>
            </w:tcMar>
            <w:vAlign w:val="center"/>
          </w:tcPr>
          <w:p>
            <w:pPr>
              <w:pStyle w:val="TableContents"/>
              <w:bidi w:val="0"/>
              <w:spacing w:before="0" w:after="283"/>
              <w:jc w:val="both"/>
              <w:rPr>
                <w:sz w:val="20"/>
              </w:rPr>
            </w:pPr>
            <w:r>
              <w:rPr>
                <w:sz w:val="20"/>
              </w:rPr>
              <w:t>Share based incentive plan expense (Refer to note 23)</w:t>
            </w:r>
          </w:p>
        </w:tc>
        <w:tc>
          <w:tcPr>
            <w:tcW w:w="71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11,626</w:t>
            </w:r>
          </w:p>
        </w:tc>
        <w:tc>
          <w:tcPr>
            <w:tcW w:w="725" w:type="dxa"/>
            <w:tcBorders/>
            <w:shd w:fill="FFFFFF" w:val="clear"/>
            <w:tcMar>
              <w:top w:w="0" w:type="dxa"/>
              <w:bottom w:w="0" w:type="dxa"/>
            </w:tcMar>
            <w:vAlign w:val="center"/>
          </w:tcPr>
          <w:p>
            <w:pPr>
              <w:pStyle w:val="TableContents"/>
              <w:bidi w:val="0"/>
              <w:spacing w:before="0" w:after="283"/>
              <w:jc w:val="right"/>
              <w:rPr>
                <w:sz w:val="20"/>
              </w:rPr>
            </w:pPr>
            <w:r>
              <w:rPr>
                <w:sz w:val="20"/>
              </w:rPr>
              <w:t>17,298</w:t>
            </w:r>
          </w:p>
        </w:tc>
      </w:tr>
      <w:tr>
        <w:trPr/>
        <w:tc>
          <w:tcPr>
            <w:tcW w:w="4385" w:type="dxa"/>
            <w:tcBorders/>
            <w:shd w:fill="D5EAEA" w:val="clear"/>
            <w:tcMar>
              <w:top w:w="0" w:type="dxa"/>
              <w:bottom w:w="0" w:type="dxa"/>
            </w:tcMar>
            <w:vAlign w:val="center"/>
          </w:tcPr>
          <w:p>
            <w:pPr>
              <w:pStyle w:val="TableContents"/>
              <w:bidi w:val="0"/>
              <w:spacing w:before="0" w:after="283"/>
              <w:jc w:val="both"/>
              <w:rPr>
                <w:sz w:val="20"/>
              </w:rPr>
            </w:pPr>
            <w:r>
              <w:rPr>
                <w:sz w:val="20"/>
              </w:rPr>
              <w:t>Bonus share plan accrual</w:t>
            </w:r>
          </w:p>
        </w:tc>
        <w:tc>
          <w:tcPr>
            <w:tcW w:w="710" w:type="dxa"/>
            <w:tcBorders/>
            <w:shd w:fill="D5EAEA"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21,765</w:t>
            </w:r>
          </w:p>
        </w:tc>
        <w:tc>
          <w:tcPr>
            <w:tcW w:w="725" w:type="dxa"/>
            <w:tcBorders/>
            <w:shd w:fill="D5EAEA" w:val="clear"/>
            <w:tcMar>
              <w:top w:w="0" w:type="dxa"/>
              <w:bottom w:w="0" w:type="dxa"/>
            </w:tcMar>
            <w:vAlign w:val="center"/>
          </w:tcPr>
          <w:p>
            <w:pPr>
              <w:pStyle w:val="TableContents"/>
              <w:bidi w:val="0"/>
              <w:spacing w:before="0" w:after="283"/>
              <w:jc w:val="right"/>
              <w:rPr>
                <w:sz w:val="20"/>
              </w:rPr>
            </w:pPr>
            <w:r>
              <w:rPr>
                <w:sz w:val="20"/>
              </w:rPr>
              <w:t>19,168</w:t>
            </w:r>
          </w:p>
        </w:tc>
      </w:tr>
      <w:tr>
        <w:trPr/>
        <w:tc>
          <w:tcPr>
            <w:tcW w:w="4385" w:type="dxa"/>
            <w:tcBorders/>
            <w:shd w:fill="FFFFFF" w:val="clear"/>
            <w:tcMar>
              <w:top w:w="0" w:type="dxa"/>
              <w:bottom w:w="0" w:type="dxa"/>
            </w:tcMar>
            <w:vAlign w:val="center"/>
          </w:tcPr>
          <w:p>
            <w:pPr>
              <w:pStyle w:val="TableContents"/>
              <w:bidi w:val="0"/>
              <w:spacing w:before="0" w:after="283"/>
              <w:jc w:val="both"/>
              <w:rPr>
                <w:sz w:val="20"/>
              </w:rPr>
            </w:pPr>
            <w:r>
              <w:rPr>
                <w:sz w:val="20"/>
              </w:rPr>
              <w:t>Bonus share plan settled</w:t>
            </w:r>
          </w:p>
        </w:tc>
        <w:tc>
          <w:tcPr>
            <w:tcW w:w="71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(34,575)</w:t>
            </w:r>
          </w:p>
        </w:tc>
        <w:tc>
          <w:tcPr>
            <w:tcW w:w="725" w:type="dxa"/>
            <w:tcBorders/>
            <w:shd w:fill="FFFFFF" w:val="clear"/>
            <w:tcMar>
              <w:top w:w="0" w:type="dxa"/>
              <w:bottom w:w="0" w:type="dxa"/>
            </w:tcMar>
            <w:vAlign w:val="center"/>
          </w:tcPr>
          <w:p>
            <w:pPr>
              <w:pStyle w:val="TableContents"/>
              <w:bidi w:val="0"/>
              <w:spacing w:before="0" w:after="283"/>
              <w:jc w:val="right"/>
              <w:rPr>
                <w:sz w:val="20"/>
              </w:rPr>
            </w:pPr>
            <w:r>
              <w:rPr>
                <w:sz w:val="20"/>
              </w:rPr>
              <w:t>(11,627)</w:t>
            </w:r>
          </w:p>
        </w:tc>
      </w:tr>
      <w:tr>
        <w:trPr/>
        <w:tc>
          <w:tcPr>
            <w:tcW w:w="4385" w:type="dxa"/>
            <w:tcBorders/>
            <w:shd w:fill="D5EAEA" w:val="clear"/>
            <w:tcMar>
              <w:top w:w="0" w:type="dxa"/>
              <w:bottom w:w="0" w:type="dxa"/>
            </w:tcMar>
            <w:vAlign w:val="center"/>
          </w:tcPr>
          <w:p>
            <w:pPr>
              <w:pStyle w:val="TableContents"/>
              <w:bidi w:val="0"/>
              <w:spacing w:before="0" w:after="283"/>
              <w:jc w:val="both"/>
              <w:rPr>
                <w:sz w:val="20"/>
              </w:rPr>
            </w:pPr>
            <w:r>
              <w:rPr>
                <w:sz w:val="20"/>
              </w:rPr>
              <w:t>RSU vested</w:t>
            </w:r>
          </w:p>
        </w:tc>
        <w:tc>
          <w:tcPr>
            <w:tcW w:w="710" w:type="dxa"/>
            <w:tcBorders>
              <w:bottom w:val="single" w:sz="8" w:space="0" w:color="000000"/>
            </w:tcBorders>
            <w:shd w:fill="D5EAEA"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25" w:type="dxa"/>
            <w:tcBorders>
              <w:bottom w:val="single" w:sz="8" w:space="0" w:color="000000"/>
            </w:tcBorders>
            <w:shd w:fill="D5EAEA" w:val="clear"/>
            <w:tcMar>
              <w:top w:w="0" w:type="dxa"/>
            </w:tcMar>
            <w:vAlign w:val="center"/>
          </w:tcPr>
          <w:p>
            <w:pPr>
              <w:pStyle w:val="TableContents"/>
              <w:bidi w:val="0"/>
              <w:spacing w:before="0" w:after="283"/>
              <w:jc w:val="right"/>
              <w:rPr>
                <w:sz w:val="20"/>
              </w:rPr>
            </w:pPr>
            <w:r>
              <w:rPr>
                <w:sz w:val="20"/>
              </w:rPr>
              <w:t>(234)</w:t>
            </w:r>
          </w:p>
        </w:tc>
      </w:tr>
      <w:tr>
        <w:trPr/>
        <w:tc>
          <w:tcPr>
            <w:tcW w:w="4385" w:type="dxa"/>
            <w:tcBorders/>
            <w:shd w:fill="FFFFFF" w:val="clear"/>
            <w:tcMar>
              <w:top w:w="0" w:type="dxa"/>
              <w:bottom w:w="0" w:type="dxa"/>
            </w:tcMar>
            <w:vAlign w:val="center"/>
          </w:tcPr>
          <w:p>
            <w:pPr>
              <w:pStyle w:val="TableContents"/>
              <w:bidi w:val="0"/>
              <w:spacing w:before="0" w:after="283"/>
              <w:jc w:val="both"/>
              <w:rPr>
                <w:b/>
                <w:sz w:val="20"/>
              </w:rPr>
            </w:pPr>
            <w:r>
              <w:rPr>
                <w:b/>
                <w:sz w:val="20"/>
              </w:rPr>
              <w:t>Closing balance – June 30</w:t>
            </w:r>
          </w:p>
        </w:tc>
        <w:tc>
          <w:tcPr>
            <w:tcW w:w="710" w:type="dxa"/>
            <w:tcBorders>
              <w:bottom w:val="double" w:sz="4" w:space="0" w:color="000000"/>
            </w:tcBorders>
            <w:shd w:fill="FFFFFF" w:val="clear"/>
            <w:tcMar>
              <w:top w:w="0" w:type="dxa"/>
            </w:tcMar>
            <w:vAlign w:val="center"/>
          </w:tcPr>
          <w:p>
            <w:pPr>
              <w:pStyle w:val="TableContents"/>
              <w:bidi w:val="0"/>
              <w:spacing w:before="0" w:after="283"/>
              <w:jc w:val="right"/>
              <w:rPr>
                <w:b/>
                <w:sz w:val="20"/>
              </w:rPr>
            </w:pPr>
            <w:r>
              <w:rPr>
                <w:b/>
                <w:sz w:val="20"/>
              </w:rPr>
              <w:t>45,462</w:t>
            </w:r>
          </w:p>
        </w:tc>
        <w:tc>
          <w:tcPr>
            <w:tcW w:w="725" w:type="dxa"/>
            <w:tcBorders>
              <w:bottom w:val="double" w:sz="4" w:space="0" w:color="000000"/>
            </w:tcBorders>
            <w:shd w:fill="FFFFFF" w:val="clear"/>
            <w:tcMar>
              <w:top w:w="0" w:type="dxa"/>
            </w:tcMar>
            <w:vAlign w:val="center"/>
          </w:tcPr>
          <w:p>
            <w:pPr>
              <w:pStyle w:val="TableContents"/>
              <w:bidi w:val="0"/>
              <w:spacing w:before="0" w:after="283"/>
              <w:jc w:val="right"/>
              <w:rPr>
                <w:b/>
                <w:sz w:val="20"/>
              </w:rPr>
            </w:pPr>
            <w:r>
              <w:rPr>
                <w:b/>
                <w:sz w:val="20"/>
              </w:rPr>
              <w:t>46,646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5"/>
        <w:gridCol w:w="690"/>
        <w:gridCol w:w="9420"/>
      </w:tblGrid>
      <w:tr>
        <w:trPr/>
        <w:tc>
          <w:tcPr>
            <w:tcW w:w="9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i/>
                <w:caps w:val="false"/>
                <w:smallCaps w:val="false"/>
              </w:rPr>
            </w:pPr>
            <w:r>
              <w:rPr>
                <w:i/>
                <w:caps w:val="false"/>
                <w:smallCaps w:val="false"/>
              </w:rPr>
              <w:t>(e)</w:t>
            </w:r>
          </w:p>
        </w:tc>
        <w:tc>
          <w:tcPr>
            <w:tcW w:w="9420" w:type="dxa"/>
            <w:tcBorders/>
            <w:vAlign w:val="center"/>
          </w:tcPr>
          <w:p>
            <w:pPr>
              <w:pStyle w:val="TableContents"/>
              <w:bidi w:val="0"/>
              <w:spacing w:before="0" w:after="283"/>
              <w:jc w:val="both"/>
              <w:rPr>
                <w:i/>
                <w:caps w:val="false"/>
                <w:smallCaps w:val="false"/>
              </w:rPr>
            </w:pPr>
            <w:r>
              <w:rPr>
                <w:i/>
                <w:caps w:val="false"/>
                <w:smallCaps w:val="false"/>
              </w:rPr>
              <w:t xml:space="preserve">Earnings per share (basic and diluted)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have been calculated based on the Company’s consolidated net income attributable to the holders of the Company’s common shares for the six-month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transactions that affected basic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Employee-profit sharing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employees received their profit-sharing awards for the year ending December 31, 2025, in the form of Class A common shares of the Company. As the shares vested with the issuance of 1,905,717 Class A common shares of the Company to the eligible employees, the weighted average impact of the issuance (approximately 416,106 shares) has been included in the basic earnings per share for the six-month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VBI call option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3" w:right="11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01, 2024, the Company exercised its option to acquire the remaining 50% interest in VBI. The option arrangement was put in place between the Company and the non-controlling interest of VBI upon the business combination that took place during July 2022. The option arrangement includes the acquisition of 50% common shares and the preferred stocks from previous owners of VBI with the purchase consideration that includes an equity settlement of R$ 175.3 million</w:t>
      </w:r>
    </w:p>
    <w:p>
      <w:pPr>
        <w:pStyle w:val="TextBody"/>
        <w:bidi w:val="0"/>
        <w:spacing w:before="0" w:after="0"/>
        <w:ind w:left="113" w:right="113"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 w:right="11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US$ 32.0 million) that will be settled with the issuance of Class A common shares of the Company in two equal tranches during January 2025 and January 2026. The 2025 tranche was settled on January 21, 2025, and the weighted average impact of approximately 1,247,000 shares has been included in the basic earnings per share for the six-month period ended June 30, 2025. The 2026 tranche was settled on January 20,2026, and the weighted average impact of approximately 421,171 shares has been included in the basic earnings per share for the six-month period ended June 30, 2026.</w:t>
      </w:r>
    </w:p>
    <w:p>
      <w:pPr>
        <w:pStyle w:val="TextBody"/>
        <w:bidi w:val="0"/>
        <w:spacing w:before="0" w:after="0"/>
        <w:ind w:left="113" w:right="113"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Carry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2026, the Company issued 50,599 Class A common shares of the Company settling a portion of the carried interest payable. The weighted average impact of the issuance (approximately 19,958 shares) has been included in the basic earnings per share for the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CSHG transaction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management of CSHG were compensated through the issue of Class A common shares of the Company as part of the acquisition transaction. The weighted average impact of the issuance (approximately 56,288 shares) has been included in the basic earnings per share for the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and matching incentive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and April 28, 2026, the Company issued 190,624 and 524,324 of Class A common shares, for the performance and matching long term incentive plan programs. The weighted average impact of the issuance (approximately 283,604 shares) has been included in the basic earnings per share for the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Moneda deferred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2025, an amendment to the Moneda share and purchase agreement was executed with Moneda’s former partners, who are currently employees of the Group, to settle the second installment of deferred consideration with equity through the issuance of the Company’s Class A common shares. On May 26, 2026, 50,491 Class A common shares were issued in relation to this. The weighted average impact of the issuance (approximately 10,098 shares) has been included in the basic earnings per share for the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share transactions considered for diluted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based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dilutive impact of share-based incentive programs with performance conditions are dependent on whether vesting conditions are deemed to be met on the reporting date. On June 30, 2026, and December 31, 2025, the performance conditions were not met with no impact on diluted earnings per share. PSUs could potentially dilute basic earnings per share in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are stock units with a service condition. On reporting date, all the service conditions are deemed to be met for outstanding RSUs and the weighted average number of potential shares, determined by using the treasury share method, is included in the calculation of diluted earnings per share for the period ended June 30, 2026 (approximately 2,367,242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CSHG deferred consideration – with vesting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acquisition of CSHG key employees of the acquired business will be compensated through the issue of Class A common shares of the Company, if the required vesting conditions are met. The total future and outstanding compensation of approximately US$5.3 million is subject to a vesting period between 2026 until 2027. The weighted average number of potential shares to be issued, if vesting conditions are met, are included in the calculation of diluted earnings per share for the period ended June 30, 2026 (approximately 26,100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further outstanding financial instruments or agreements convertible into potentially dilutive common shares for the period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4658"/>
        <w:gridCol w:w="1428"/>
        <w:gridCol w:w="1428"/>
        <w:gridCol w:w="1334"/>
        <w:gridCol w:w="1357"/>
      </w:tblGrid>
      <w:tr>
        <w:trPr/>
        <w:tc>
          <w:tcPr>
            <w:tcW w:w="4658" w:type="dxa"/>
            <w:tcBorders/>
            <w:vAlign w:val="center"/>
          </w:tcPr>
          <w:p>
            <w:pPr>
              <w:pStyle w:val="TableContents"/>
              <w:bidi w:val="0"/>
              <w:spacing w:before="0" w:after="283"/>
              <w:jc w:val="left"/>
              <w:rPr/>
            </w:pPr>
            <w:r>
              <w:rPr/>
              <w:t> </w:t>
            </w:r>
          </w:p>
        </w:tc>
        <w:tc>
          <w:tcPr>
            <w:tcW w:w="285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periods ended June 30,</w:t>
            </w:r>
          </w:p>
        </w:tc>
        <w:tc>
          <w:tcPr>
            <w:tcW w:w="26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periods ended June 30,</w:t>
            </w:r>
          </w:p>
        </w:tc>
      </w:tr>
      <w:tr>
        <w:trPr/>
        <w:tc>
          <w:tcPr>
            <w:tcW w:w="4658" w:type="dxa"/>
            <w:tcBorders/>
            <w:vAlign w:val="center"/>
          </w:tcPr>
          <w:p>
            <w:pPr>
              <w:pStyle w:val="TableContents"/>
              <w:bidi w:val="0"/>
              <w:spacing w:before="0" w:after="283"/>
              <w:jc w:val="left"/>
              <w:rPr/>
            </w:pPr>
            <w:r>
              <w:rPr/>
              <w:t> </w:t>
            </w:r>
          </w:p>
        </w:tc>
        <w:tc>
          <w:tcPr>
            <w:tcW w:w="142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42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33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35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4658"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 </w:t>
            </w:r>
          </w:p>
        </w:tc>
      </w:tr>
      <w:tr>
        <w:trPr/>
        <w:tc>
          <w:tcPr>
            <w:tcW w:w="4658" w:type="dxa"/>
            <w:tcBorders/>
            <w:shd w:fill="D5EAEA" w:val="clear"/>
            <w:vAlign w:val="center"/>
          </w:tcPr>
          <w:p>
            <w:pPr>
              <w:pStyle w:val="TableContents"/>
              <w:bidi w:val="0"/>
              <w:spacing w:before="0" w:after="283"/>
              <w:jc w:val="left"/>
              <w:rPr>
                <w:b/>
                <w:sz w:val="20"/>
              </w:rPr>
            </w:pPr>
            <w:r>
              <w:rPr>
                <w:b/>
                <w:sz w:val="20"/>
              </w:rPr>
              <w:t>Net income for the period attributable to the Owners of the Company</w:t>
            </w:r>
          </w:p>
        </w:tc>
        <w:tc>
          <w:tcPr>
            <w:tcW w:w="1428" w:type="dxa"/>
            <w:tcBorders/>
            <w:shd w:fill="D5EAEA" w:val="clear"/>
            <w:vAlign w:val="center"/>
          </w:tcPr>
          <w:p>
            <w:pPr>
              <w:pStyle w:val="TableContents"/>
              <w:bidi w:val="0"/>
              <w:spacing w:before="0" w:after="283"/>
              <w:jc w:val="right"/>
              <w:rPr>
                <w:b/>
                <w:sz w:val="20"/>
              </w:rPr>
            </w:pPr>
            <w:r>
              <w:rPr>
                <w:b/>
                <w:sz w:val="20"/>
              </w:rPr>
              <w:t>10,691</w:t>
            </w:r>
          </w:p>
        </w:tc>
        <w:tc>
          <w:tcPr>
            <w:tcW w:w="1428" w:type="dxa"/>
            <w:tcBorders/>
            <w:shd w:fill="D5EAEA" w:val="clear"/>
            <w:vAlign w:val="center"/>
          </w:tcPr>
          <w:p>
            <w:pPr>
              <w:pStyle w:val="TableContents"/>
              <w:bidi w:val="0"/>
              <w:spacing w:before="0" w:after="283"/>
              <w:jc w:val="right"/>
              <w:rPr>
                <w:b/>
                <w:sz w:val="20"/>
              </w:rPr>
            </w:pPr>
            <w:r>
              <w:rPr>
                <w:b/>
                <w:sz w:val="20"/>
              </w:rPr>
              <w:t>12,851</w:t>
            </w:r>
          </w:p>
        </w:tc>
        <w:tc>
          <w:tcPr>
            <w:tcW w:w="1334" w:type="dxa"/>
            <w:tcBorders/>
            <w:shd w:fill="D5EAEA" w:val="clear"/>
            <w:vAlign w:val="center"/>
          </w:tcPr>
          <w:p>
            <w:pPr>
              <w:pStyle w:val="TableContents"/>
              <w:bidi w:val="0"/>
              <w:spacing w:before="0" w:after="283"/>
              <w:jc w:val="right"/>
              <w:rPr>
                <w:b/>
                <w:sz w:val="20"/>
              </w:rPr>
            </w:pPr>
            <w:r>
              <w:rPr>
                <w:b/>
                <w:sz w:val="20"/>
              </w:rPr>
              <w:t>12,864</w:t>
            </w:r>
          </w:p>
        </w:tc>
        <w:tc>
          <w:tcPr>
            <w:tcW w:w="1357" w:type="dxa"/>
            <w:tcBorders/>
            <w:shd w:fill="D5EAEA" w:val="clear"/>
            <w:vAlign w:val="center"/>
          </w:tcPr>
          <w:p>
            <w:pPr>
              <w:pStyle w:val="TableContents"/>
              <w:bidi w:val="0"/>
              <w:spacing w:before="0" w:after="283"/>
              <w:jc w:val="right"/>
              <w:rPr>
                <w:b/>
                <w:sz w:val="20"/>
              </w:rPr>
            </w:pPr>
            <w:r>
              <w:rPr>
                <w:b/>
                <w:sz w:val="20"/>
              </w:rPr>
              <w:t>28,515</w:t>
            </w:r>
          </w:p>
        </w:tc>
      </w:tr>
      <w:tr>
        <w:trPr/>
        <w:tc>
          <w:tcPr>
            <w:tcW w:w="4658" w:type="dxa"/>
            <w:tcBorders/>
            <w:shd w:fill="FFFFFF" w:val="clear"/>
            <w:vAlign w:val="center"/>
          </w:tcPr>
          <w:p>
            <w:pPr>
              <w:pStyle w:val="TableContents"/>
              <w:bidi w:val="0"/>
              <w:spacing w:before="0" w:after="283"/>
              <w:jc w:val="left"/>
              <w:rPr>
                <w:sz w:val="20"/>
              </w:rPr>
            </w:pPr>
            <w:r>
              <w:rPr>
                <w:sz w:val="20"/>
              </w:rPr>
              <w:t>Basic weighted average number of shares</w:t>
            </w:r>
          </w:p>
        </w:tc>
        <w:tc>
          <w:tcPr>
            <w:tcW w:w="1428" w:type="dxa"/>
            <w:tcBorders/>
            <w:shd w:fill="FFFFFF" w:val="clear"/>
            <w:vAlign w:val="center"/>
          </w:tcPr>
          <w:p>
            <w:pPr>
              <w:pStyle w:val="TableContents"/>
              <w:bidi w:val="0"/>
              <w:spacing w:before="0" w:after="283"/>
              <w:jc w:val="right"/>
              <w:rPr>
                <w:sz w:val="20"/>
              </w:rPr>
            </w:pPr>
            <w:r>
              <w:rPr>
                <w:sz w:val="20"/>
              </w:rPr>
              <w:t>161,384,267</w:t>
            </w:r>
          </w:p>
        </w:tc>
        <w:tc>
          <w:tcPr>
            <w:tcW w:w="1428" w:type="dxa"/>
            <w:tcBorders/>
            <w:shd w:fill="FFFFFF" w:val="clear"/>
            <w:vAlign w:val="center"/>
          </w:tcPr>
          <w:p>
            <w:pPr>
              <w:pStyle w:val="TableContents"/>
              <w:bidi w:val="0"/>
              <w:spacing w:before="0" w:after="283"/>
              <w:jc w:val="right"/>
              <w:rPr>
                <w:sz w:val="20"/>
              </w:rPr>
            </w:pPr>
            <w:r>
              <w:rPr>
                <w:sz w:val="20"/>
              </w:rPr>
              <w:t>159,689,104</w:t>
            </w:r>
          </w:p>
        </w:tc>
        <w:tc>
          <w:tcPr>
            <w:tcW w:w="1334" w:type="dxa"/>
            <w:tcBorders/>
            <w:shd w:fill="FFFFFF" w:val="clear"/>
            <w:vAlign w:val="center"/>
          </w:tcPr>
          <w:p>
            <w:pPr>
              <w:pStyle w:val="TableContents"/>
              <w:bidi w:val="0"/>
              <w:spacing w:before="0" w:after="283"/>
              <w:jc w:val="right"/>
              <w:rPr>
                <w:sz w:val="20"/>
              </w:rPr>
            </w:pPr>
            <w:r>
              <w:rPr>
                <w:sz w:val="20"/>
              </w:rPr>
              <w:t>160,181,133</w:t>
            </w:r>
          </w:p>
        </w:tc>
        <w:tc>
          <w:tcPr>
            <w:tcW w:w="1357" w:type="dxa"/>
            <w:tcBorders/>
            <w:shd w:fill="FFFFFF" w:val="clear"/>
            <w:vAlign w:val="center"/>
          </w:tcPr>
          <w:p>
            <w:pPr>
              <w:pStyle w:val="TableContents"/>
              <w:bidi w:val="0"/>
              <w:spacing w:before="0" w:after="283"/>
              <w:jc w:val="right"/>
              <w:rPr>
                <w:sz w:val="20"/>
              </w:rPr>
            </w:pPr>
            <w:r>
              <w:rPr>
                <w:sz w:val="20"/>
              </w:rPr>
              <w:t>158,844,076</w:t>
            </w:r>
          </w:p>
        </w:tc>
      </w:tr>
      <w:tr>
        <w:trPr/>
        <w:tc>
          <w:tcPr>
            <w:tcW w:w="4658" w:type="dxa"/>
            <w:tcBorders/>
            <w:shd w:fill="D5EAEA" w:val="clear"/>
            <w:vAlign w:val="center"/>
          </w:tcPr>
          <w:p>
            <w:pPr>
              <w:pStyle w:val="TableContents"/>
              <w:bidi w:val="0"/>
              <w:spacing w:before="0" w:after="283"/>
              <w:jc w:val="left"/>
              <w:rPr>
                <w:b/>
                <w:sz w:val="20"/>
              </w:rPr>
            </w:pPr>
            <w:r>
              <w:rPr>
                <w:b/>
                <w:sz w:val="20"/>
              </w:rPr>
              <w:t>Basic earnings per share</w:t>
            </w:r>
          </w:p>
        </w:tc>
        <w:tc>
          <w:tcPr>
            <w:tcW w:w="1428" w:type="dxa"/>
            <w:tcBorders/>
            <w:shd w:fill="D5EAEA" w:val="clear"/>
            <w:vAlign w:val="center"/>
          </w:tcPr>
          <w:p>
            <w:pPr>
              <w:pStyle w:val="TableContents"/>
              <w:bidi w:val="0"/>
              <w:spacing w:before="0" w:after="283"/>
              <w:jc w:val="right"/>
              <w:rPr>
                <w:b/>
                <w:sz w:val="20"/>
              </w:rPr>
            </w:pPr>
            <w:r>
              <w:rPr>
                <w:b/>
                <w:sz w:val="20"/>
              </w:rPr>
              <w:t>0.06624</w:t>
            </w:r>
          </w:p>
        </w:tc>
        <w:tc>
          <w:tcPr>
            <w:tcW w:w="1428" w:type="dxa"/>
            <w:tcBorders/>
            <w:shd w:fill="D5EAEA" w:val="clear"/>
            <w:vAlign w:val="center"/>
          </w:tcPr>
          <w:p>
            <w:pPr>
              <w:pStyle w:val="TableContents"/>
              <w:bidi w:val="0"/>
              <w:spacing w:before="0" w:after="283"/>
              <w:jc w:val="right"/>
              <w:rPr>
                <w:b/>
                <w:sz w:val="20"/>
              </w:rPr>
            </w:pPr>
            <w:r>
              <w:rPr>
                <w:b/>
                <w:sz w:val="20"/>
              </w:rPr>
              <w:t>0.08048</w:t>
            </w:r>
          </w:p>
        </w:tc>
        <w:tc>
          <w:tcPr>
            <w:tcW w:w="1334" w:type="dxa"/>
            <w:tcBorders/>
            <w:shd w:fill="D5EAEA" w:val="clear"/>
            <w:vAlign w:val="center"/>
          </w:tcPr>
          <w:p>
            <w:pPr>
              <w:pStyle w:val="TableContents"/>
              <w:bidi w:val="0"/>
              <w:spacing w:before="0" w:after="283"/>
              <w:jc w:val="right"/>
              <w:rPr>
                <w:b/>
                <w:sz w:val="20"/>
              </w:rPr>
            </w:pPr>
            <w:r>
              <w:rPr>
                <w:b/>
                <w:sz w:val="20"/>
              </w:rPr>
              <w:t>0.08031</w:t>
            </w:r>
          </w:p>
        </w:tc>
        <w:tc>
          <w:tcPr>
            <w:tcW w:w="1357" w:type="dxa"/>
            <w:tcBorders/>
            <w:shd w:fill="D5EAEA" w:val="clear"/>
            <w:vAlign w:val="center"/>
          </w:tcPr>
          <w:p>
            <w:pPr>
              <w:pStyle w:val="TableContents"/>
              <w:bidi w:val="0"/>
              <w:spacing w:before="0" w:after="283"/>
              <w:jc w:val="right"/>
              <w:rPr>
                <w:b/>
                <w:sz w:val="20"/>
              </w:rPr>
            </w:pPr>
            <w:r>
              <w:rPr>
                <w:b/>
                <w:sz w:val="20"/>
              </w:rPr>
              <w:t>0.17952</w:t>
            </w:r>
          </w:p>
        </w:tc>
      </w:tr>
      <w:tr>
        <w:trPr/>
        <w:tc>
          <w:tcPr>
            <w:tcW w:w="4658" w:type="dxa"/>
            <w:tcBorders/>
            <w:shd w:fill="FFFFFF" w:val="clear"/>
            <w:vAlign w:val="center"/>
          </w:tcPr>
          <w:p>
            <w:pPr>
              <w:pStyle w:val="TableContents"/>
              <w:bidi w:val="0"/>
              <w:spacing w:before="0" w:after="283"/>
              <w:jc w:val="left"/>
              <w:rPr>
                <w:sz w:val="20"/>
              </w:rPr>
            </w:pPr>
            <w:r>
              <w:rPr>
                <w:sz w:val="20"/>
              </w:rPr>
              <w:t>Diluted weighted average number of shares</w:t>
            </w:r>
          </w:p>
        </w:tc>
        <w:tc>
          <w:tcPr>
            <w:tcW w:w="1428" w:type="dxa"/>
            <w:tcBorders/>
            <w:shd w:fill="FFFFFF" w:val="clear"/>
            <w:vAlign w:val="center"/>
          </w:tcPr>
          <w:p>
            <w:pPr>
              <w:pStyle w:val="TableContents"/>
              <w:bidi w:val="0"/>
              <w:spacing w:before="0" w:after="283"/>
              <w:jc w:val="right"/>
              <w:rPr>
                <w:sz w:val="20"/>
              </w:rPr>
            </w:pPr>
            <w:r>
              <w:rPr>
                <w:sz w:val="20"/>
              </w:rPr>
              <w:t>164,044,360</w:t>
            </w:r>
          </w:p>
        </w:tc>
        <w:tc>
          <w:tcPr>
            <w:tcW w:w="1428" w:type="dxa"/>
            <w:tcBorders/>
            <w:shd w:fill="FFFFFF" w:val="clear"/>
            <w:vAlign w:val="center"/>
          </w:tcPr>
          <w:p>
            <w:pPr>
              <w:pStyle w:val="TableContents"/>
              <w:bidi w:val="0"/>
              <w:spacing w:before="0" w:after="283"/>
              <w:jc w:val="right"/>
              <w:rPr>
                <w:sz w:val="20"/>
              </w:rPr>
            </w:pPr>
            <w:r>
              <w:rPr>
                <w:sz w:val="20"/>
              </w:rPr>
              <w:t>160,676,341</w:t>
            </w:r>
          </w:p>
        </w:tc>
        <w:tc>
          <w:tcPr>
            <w:tcW w:w="1334" w:type="dxa"/>
            <w:tcBorders/>
            <w:shd w:fill="FFFFFF" w:val="clear"/>
            <w:vAlign w:val="center"/>
          </w:tcPr>
          <w:p>
            <w:pPr>
              <w:pStyle w:val="TableContents"/>
              <w:bidi w:val="0"/>
              <w:spacing w:before="0" w:after="283"/>
              <w:jc w:val="right"/>
              <w:rPr>
                <w:sz w:val="20"/>
              </w:rPr>
            </w:pPr>
            <w:r>
              <w:rPr>
                <w:sz w:val="20"/>
              </w:rPr>
              <w:t>162,574,476</w:t>
            </w:r>
          </w:p>
        </w:tc>
        <w:tc>
          <w:tcPr>
            <w:tcW w:w="1357" w:type="dxa"/>
            <w:tcBorders/>
            <w:shd w:fill="FFFFFF" w:val="clear"/>
            <w:vAlign w:val="center"/>
          </w:tcPr>
          <w:p>
            <w:pPr>
              <w:pStyle w:val="TableContents"/>
              <w:bidi w:val="0"/>
              <w:spacing w:before="0" w:after="283"/>
              <w:jc w:val="right"/>
              <w:rPr>
                <w:sz w:val="20"/>
              </w:rPr>
            </w:pPr>
            <w:r>
              <w:rPr>
                <w:sz w:val="20"/>
              </w:rPr>
              <w:t>160,350,958</w:t>
            </w:r>
          </w:p>
        </w:tc>
      </w:tr>
      <w:tr>
        <w:trPr/>
        <w:tc>
          <w:tcPr>
            <w:tcW w:w="4658" w:type="dxa"/>
            <w:tcBorders>
              <w:bottom w:val="double" w:sz="4" w:space="0" w:color="000000"/>
            </w:tcBorders>
            <w:shd w:fill="D5EAEA" w:val="clear"/>
            <w:tcMar>
              <w:bottom w:w="28" w:type="dxa"/>
            </w:tcMar>
            <w:vAlign w:val="center"/>
          </w:tcPr>
          <w:p>
            <w:pPr>
              <w:pStyle w:val="TableContents"/>
              <w:bidi w:val="0"/>
              <w:spacing w:before="0" w:after="283"/>
              <w:jc w:val="left"/>
              <w:rPr>
                <w:b/>
                <w:sz w:val="20"/>
              </w:rPr>
            </w:pPr>
            <w:r>
              <w:rPr>
                <w:b/>
                <w:sz w:val="20"/>
              </w:rPr>
              <w:t>Diluted earnings per share</w:t>
            </w:r>
          </w:p>
        </w:tc>
        <w:tc>
          <w:tcPr>
            <w:tcW w:w="1428"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0.06517</w:t>
            </w:r>
          </w:p>
        </w:tc>
        <w:tc>
          <w:tcPr>
            <w:tcW w:w="1428"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0.07998</w:t>
            </w:r>
          </w:p>
        </w:tc>
        <w:tc>
          <w:tcPr>
            <w:tcW w:w="1334"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0.07913</w:t>
            </w:r>
          </w:p>
        </w:tc>
        <w:tc>
          <w:tcPr>
            <w:tcW w:w="1357"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0.17783</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9"/>
        <w:gridCol w:w="539"/>
        <w:gridCol w:w="9577"/>
      </w:tblGrid>
      <w:tr>
        <w:trPr/>
        <w:tc>
          <w:tcPr>
            <w:tcW w:w="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i/>
                <w:caps w:val="false"/>
                <w:smallCaps w:val="false"/>
              </w:rPr>
            </w:pPr>
            <w:r>
              <w:rPr>
                <w:i/>
                <w:caps w:val="false"/>
                <w:smallCaps w:val="false"/>
              </w:rPr>
              <w:t>(f)</w:t>
            </w:r>
          </w:p>
        </w:tc>
        <w:tc>
          <w:tcPr>
            <w:tcW w:w="9577" w:type="dxa"/>
            <w:tcBorders/>
            <w:vAlign w:val="center"/>
          </w:tcPr>
          <w:p>
            <w:pPr>
              <w:pStyle w:val="TableContents"/>
              <w:bidi w:val="0"/>
              <w:spacing w:before="0" w:after="283"/>
              <w:jc w:val="both"/>
              <w:rPr>
                <w:i/>
                <w:caps w:val="false"/>
                <w:smallCaps w:val="false"/>
              </w:rPr>
            </w:pPr>
            <w:r>
              <w:rPr>
                <w:i/>
                <w:caps w:val="false"/>
                <w:smallCaps w:val="false"/>
              </w:rPr>
              <w:t>Gross obligation – non-controlling 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with Tria includes put option arrangements relating to the non-controlling interest as disclosed in note 21(c). The amounts payable under the option arrangements are recognized as the unaudited consolidated financial instruments reflecting the present value of the expected gross obligation payable under the arrangements and form part of other reserve in the consolidated statement of changes in equity. As of June 30, 2026, the gross obligation had a present value of US$21.3 million (December 31, 2025: US$ 24.6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The business combination with Solis and Iter includes put option arrangements with the non-controlling shareholders of Solis and Iter, granting them the right to sell their remaining 49% interest to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color w:val="000000"/>
          <w:sz w:val="20"/>
        </w:rPr>
        <w:t>at a future date, as disclosed in note 21(c). The amounts payable under the option arrangements are recognized as the unaudited consolidated financial instruments reflecting the present value of the expected put option payable under the arrangements and form part of other reserves in the consolidated statement of changes in equity. As of June 30, 2026, the put option had a value of US$34.0 million.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564"/>
        <w:gridCol w:w="8437"/>
      </w:tblGrid>
      <w:tr>
        <w:trPr/>
        <w:tc>
          <w:tcPr>
            <w:tcW w:w="20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i/>
                <w:caps w:val="false"/>
                <w:smallCaps w:val="false"/>
              </w:rPr>
            </w:pPr>
            <w:r>
              <w:rPr>
                <w:i/>
                <w:caps w:val="false"/>
                <w:smallCaps w:val="false"/>
              </w:rPr>
              <w:t>(g)</w:t>
            </w:r>
          </w:p>
        </w:tc>
        <w:tc>
          <w:tcPr>
            <w:tcW w:w="8437" w:type="dxa"/>
            <w:tcBorders/>
            <w:vAlign w:val="center"/>
          </w:tcPr>
          <w:p>
            <w:pPr>
              <w:pStyle w:val="TableContents"/>
              <w:bidi w:val="0"/>
              <w:spacing w:before="0" w:after="283"/>
              <w:jc w:val="both"/>
              <w:rPr>
                <w:i/>
                <w:caps w:val="false"/>
                <w:smallCaps w:val="false"/>
              </w:rPr>
            </w:pPr>
            <w:r>
              <w:rPr>
                <w:i/>
                <w:caps w:val="false"/>
                <w:smallCaps w:val="false"/>
              </w:rPr>
              <w:t>Treasury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shares recognized as equity are repurchased, the amount of the consideration paid, which includes directly attributable costs, is recognized as a deduction from equity. Repurchased shares are classified as treasury shares and are presented in the treasury shares reserve. When treasury shares are sold or reissued subsequently, the amount received is recognized as an increase in equity and the resulting surplus or deficit on the transaction is presented within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2026, Patria bought back 892,874 shares from its shareholders and the market, in the amount of US$ 12.7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773"/>
        <w:gridCol w:w="9331"/>
      </w:tblGrid>
      <w:tr>
        <w:trPr/>
        <w:tc>
          <w:tcPr>
            <w:tcW w:w="1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i/>
                <w:caps w:val="false"/>
                <w:smallCaps w:val="false"/>
              </w:rPr>
            </w:pPr>
            <w:r>
              <w:rPr>
                <w:i/>
                <w:caps w:val="false"/>
                <w:smallCaps w:val="false"/>
              </w:rPr>
              <w:t>(h)</w:t>
            </w:r>
          </w:p>
        </w:tc>
        <w:tc>
          <w:tcPr>
            <w:tcW w:w="9331" w:type="dxa"/>
            <w:tcBorders/>
            <w:vAlign w:val="center"/>
          </w:tcPr>
          <w:p>
            <w:pPr>
              <w:pStyle w:val="TableContents"/>
              <w:bidi w:val="0"/>
              <w:spacing w:before="0" w:after="283"/>
              <w:jc w:val="both"/>
              <w:rPr>
                <w:i/>
                <w:caps w:val="false"/>
                <w:smallCaps w:val="false"/>
              </w:rPr>
            </w:pPr>
            <w:r>
              <w:rPr>
                <w:i/>
                <w:caps w:val="false"/>
                <w:smallCaps w:val="false"/>
              </w:rPr>
              <w:t>Cumulative Translation Adjustments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translates the financial information of its subsidiaries from their functional currency to U.S. dollars, which is the Company's and the Company's presentation currency. The effects of the translation are accounted for and presented on Equity under the caption "Cumulative Translation Adjustments".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883"/>
        <w:gridCol w:w="9177"/>
      </w:tblGrid>
      <w:tr>
        <w:trPr/>
        <w:tc>
          <w:tcPr>
            <w:tcW w:w="14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i/>
                <w:caps w:val="false"/>
                <w:smallCaps w:val="false"/>
              </w:rPr>
            </w:pPr>
            <w:r>
              <w:rPr>
                <w:i/>
                <w:caps w:val="false"/>
                <w:smallCaps w:val="false"/>
              </w:rPr>
              <w:t>(i)</w:t>
            </w:r>
          </w:p>
        </w:tc>
        <w:tc>
          <w:tcPr>
            <w:tcW w:w="9177" w:type="dxa"/>
            <w:tcBorders/>
            <w:vAlign w:val="center"/>
          </w:tcPr>
          <w:p>
            <w:pPr>
              <w:pStyle w:val="TableContents"/>
              <w:bidi w:val="0"/>
              <w:spacing w:before="0" w:after="283"/>
              <w:jc w:val="both"/>
              <w:rPr>
                <w:i/>
                <w:caps w:val="false"/>
                <w:smallCaps w:val="false"/>
              </w:rPr>
            </w:pPr>
            <w:r>
              <w:rPr>
                <w:i/>
                <w:caps w:val="false"/>
                <w:smallCaps w:val="false"/>
              </w:rPr>
              <w:t>Non-controlling interests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eight subsidiaries with non-controlling interests as per the table below.</w:t>
      </w:r>
    </w:p>
    <w:p>
      <w:pPr>
        <w:pStyle w:val="TextBody"/>
        <w:bidi w:val="0"/>
        <w:spacing w:before="0" w:after="0"/>
        <w:ind w:left="0" w:right="0" w:hanging="0"/>
        <w:jc w:val="both"/>
        <w:rPr>
          <w:caps w:val="false"/>
          <w:smallCaps w:val="false"/>
        </w:rPr>
      </w:pPr>
      <w:r>
        <w:rPr>
          <w:caps w:val="false"/>
          <w:smallCaps w:val="false"/>
        </w:rPr>
        <w:t> </w:t>
      </w:r>
    </w:p>
    <w:tbl>
      <w:tblPr>
        <w:tblW w:w="8634" w:type="dxa"/>
        <w:jc w:val="center"/>
        <w:tblInd w:w="0" w:type="dxa"/>
        <w:tblLayout w:type="fixed"/>
        <w:tblCellMar>
          <w:top w:w="0" w:type="dxa"/>
          <w:left w:w="0" w:type="dxa"/>
          <w:bottom w:w="0" w:type="dxa"/>
          <w:right w:w="0" w:type="dxa"/>
        </w:tblCellMar>
      </w:tblPr>
      <w:tblGrid>
        <w:gridCol w:w="2270"/>
        <w:gridCol w:w="665"/>
        <w:gridCol w:w="1190"/>
        <w:gridCol w:w="1640"/>
        <w:gridCol w:w="1413"/>
        <w:gridCol w:w="1456"/>
      </w:tblGrid>
      <w:tr>
        <w:trPr/>
        <w:tc>
          <w:tcPr>
            <w:tcW w:w="2270"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c>
          <w:tcPr>
            <w:tcW w:w="28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Equity</w:t>
            </w:r>
          </w:p>
        </w:tc>
        <w:tc>
          <w:tcPr>
            <w:tcW w:w="28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Income / (loss)</w:t>
            </w:r>
          </w:p>
        </w:tc>
      </w:tr>
      <w:tr>
        <w:trPr/>
        <w:tc>
          <w:tcPr>
            <w:tcW w:w="22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pPr>
            <w:r>
              <w:rPr/>
              <w:t> </w:t>
            </w:r>
          </w:p>
        </w:tc>
        <w:tc>
          <w:tcPr>
            <w:tcW w:w="28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periods ended</w:t>
            </w:r>
          </w:p>
        </w:tc>
        <w:tc>
          <w:tcPr>
            <w:tcW w:w="28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periods ended June 30,</w:t>
            </w:r>
          </w:p>
        </w:tc>
      </w:tr>
      <w:tr>
        <w:trPr/>
        <w:tc>
          <w:tcPr>
            <w:tcW w:w="22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Non-controlling interest</w:t>
            </w:r>
          </w:p>
        </w:tc>
        <w:tc>
          <w:tcPr>
            <w:tcW w:w="6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w:t>
            </w:r>
          </w:p>
        </w:tc>
        <w:tc>
          <w:tcPr>
            <w:tcW w:w="119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June </w:t>
            </w:r>
            <w:r>
              <w:rPr>
                <w:rFonts w:ascii="Times New Roman;Times;Serif" w:hAnsi="Times New Roman;Times;Serif"/>
                <w:b/>
                <w:sz w:val="20"/>
              </w:rPr>
              <w:t>3</w:t>
            </w:r>
            <w:r>
              <w:rPr>
                <w:b/>
                <w:sz w:val="20"/>
              </w:rPr>
              <w:t>0</w:t>
            </w:r>
            <w:r>
              <w:rPr>
                <w:rFonts w:ascii="Times New Roman;Times;Serif" w:hAnsi="Times New Roman;Times;Serif"/>
                <w:b/>
                <w:sz w:val="20"/>
              </w:rPr>
              <w:t>, 2026</w:t>
            </w:r>
          </w:p>
        </w:tc>
        <w:tc>
          <w:tcPr>
            <w:tcW w:w="16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141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r>
      <w:tr>
        <w:trPr/>
        <w:tc>
          <w:tcPr>
            <w:tcW w:w="2270" w:type="dxa"/>
            <w:tcBorders/>
            <w:shd w:fill="D5EAEA"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Patria Asset Management</w:t>
            </w:r>
          </w:p>
        </w:tc>
        <w:tc>
          <w:tcPr>
            <w:tcW w:w="665" w:type="dxa"/>
            <w:tcBorders/>
            <w:shd w:fill="D5EAEA"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49.26%</w:t>
            </w:r>
          </w:p>
        </w:tc>
        <w:tc>
          <w:tcPr>
            <w:tcW w:w="119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19,475</w:t>
            </w:r>
          </w:p>
        </w:tc>
        <w:tc>
          <w:tcPr>
            <w:tcW w:w="164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19,937</w:t>
            </w:r>
          </w:p>
        </w:tc>
        <w:tc>
          <w:tcPr>
            <w:tcW w:w="1413"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1,214</w:t>
            </w:r>
          </w:p>
        </w:tc>
        <w:tc>
          <w:tcPr>
            <w:tcW w:w="1456"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1,069</w:t>
            </w:r>
          </w:p>
        </w:tc>
      </w:tr>
      <w:tr>
        <w:trPr/>
        <w:tc>
          <w:tcPr>
            <w:tcW w:w="22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Tria</w:t>
            </w:r>
          </w:p>
        </w:tc>
        <w:tc>
          <w:tcPr>
            <w:tcW w:w="665" w:type="dxa"/>
            <w:tcBorders/>
            <w:shd w:fill="FFFFFF" w:val="clear"/>
            <w:vAlign w:val="center"/>
          </w:tcPr>
          <w:p>
            <w:pPr>
              <w:pStyle w:val="TableContents"/>
              <w:bidi w:val="0"/>
              <w:spacing w:before="0" w:after="283"/>
              <w:jc w:val="center"/>
              <w:rPr/>
            </w:pPr>
            <w:r>
              <w:rPr>
                <w:rFonts w:ascii="Times New Roman;Times;Serif" w:hAnsi="Times New Roman;Times;Serif"/>
                <w:sz w:val="20"/>
              </w:rPr>
              <w:t>41.1</w:t>
            </w:r>
            <w:r>
              <w:rPr>
                <w:sz w:val="20"/>
              </w:rPr>
              <w:t>0</w:t>
            </w:r>
            <w:r>
              <w:rPr>
                <w:rFonts w:ascii="Times New Roman;Times;Serif" w:hAnsi="Times New Roman;Times;Serif"/>
                <w:sz w:val="20"/>
              </w:rPr>
              <w:t>%</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21,178</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(1,092)</w:t>
            </w:r>
          </w:p>
        </w:tc>
        <w:tc>
          <w:tcPr>
            <w:tcW w:w="1413" w:type="dxa"/>
            <w:tcBorders/>
            <w:shd w:fill="FFFFFF" w:val="clear"/>
            <w:vAlign w:val="center"/>
          </w:tcPr>
          <w:p>
            <w:pPr>
              <w:pStyle w:val="TableContents"/>
              <w:bidi w:val="0"/>
              <w:spacing w:before="0" w:after="283"/>
              <w:jc w:val="right"/>
              <w:rPr>
                <w:sz w:val="20"/>
              </w:rPr>
            </w:pPr>
            <w:r>
              <w:rPr>
                <w:sz w:val="20"/>
              </w:rPr>
              <w:t>3,032</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w:t>
            </w:r>
          </w:p>
        </w:tc>
      </w:tr>
      <w:tr>
        <w:trPr/>
        <w:tc>
          <w:tcPr>
            <w:tcW w:w="2270" w:type="dxa"/>
            <w:tcBorders/>
            <w:shd w:fill="D5EAEA"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Patria Real Estate Latam*</w:t>
            </w:r>
          </w:p>
        </w:tc>
        <w:tc>
          <w:tcPr>
            <w:tcW w:w="665" w:type="dxa"/>
            <w:tcBorders/>
            <w:shd w:fill="D5EAEA"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w:t>
            </w:r>
          </w:p>
        </w:tc>
        <w:tc>
          <w:tcPr>
            <w:tcW w:w="119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w:t>
            </w:r>
          </w:p>
        </w:tc>
        <w:tc>
          <w:tcPr>
            <w:tcW w:w="164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p>
        </w:tc>
        <w:tc>
          <w:tcPr>
            <w:tcW w:w="1413"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1456"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22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PEVC I General Partner IV*</w:t>
            </w:r>
          </w:p>
        </w:tc>
        <w:tc>
          <w:tcPr>
            <w:tcW w:w="66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57.08%</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14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2270" w:type="dxa"/>
            <w:tcBorders/>
            <w:shd w:fill="D5EAEA"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 HoldCo Servicios*</w:t>
            </w:r>
          </w:p>
        </w:tc>
        <w:tc>
          <w:tcPr>
            <w:tcW w:w="665" w:type="dxa"/>
            <w:tcBorders/>
            <w:shd w:fill="D5EAEA"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49.00%</w:t>
            </w:r>
          </w:p>
        </w:tc>
        <w:tc>
          <w:tcPr>
            <w:tcW w:w="119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2,377</w:t>
            </w:r>
          </w:p>
        </w:tc>
        <w:tc>
          <w:tcPr>
            <w:tcW w:w="164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2,337</w:t>
            </w:r>
          </w:p>
        </w:tc>
        <w:tc>
          <w:tcPr>
            <w:tcW w:w="1413"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1456"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22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 Manco Holding*</w:t>
            </w:r>
          </w:p>
        </w:tc>
        <w:tc>
          <w:tcPr>
            <w:tcW w:w="66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25.00%</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4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2270" w:type="dxa"/>
            <w:tcBorders/>
            <w:shd w:fill="D5EAEA"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Solis</w:t>
            </w:r>
          </w:p>
        </w:tc>
        <w:tc>
          <w:tcPr>
            <w:tcW w:w="665" w:type="dxa"/>
            <w:tcBorders/>
            <w:shd w:fill="D5EAEA"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49.00%</w:t>
            </w:r>
          </w:p>
        </w:tc>
        <w:tc>
          <w:tcPr>
            <w:tcW w:w="119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22,586</w:t>
            </w:r>
          </w:p>
        </w:tc>
        <w:tc>
          <w:tcPr>
            <w:tcW w:w="1640"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413"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1,239</w:t>
            </w:r>
          </w:p>
        </w:tc>
        <w:tc>
          <w:tcPr>
            <w:tcW w:w="1456"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22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Iter</w:t>
            </w:r>
          </w:p>
        </w:tc>
        <w:tc>
          <w:tcPr>
            <w:tcW w:w="66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73.99%</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9,168</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4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w:t>
            </w:r>
          </w:p>
        </w:tc>
        <w:tc>
          <w:tcPr>
            <w:tcW w:w="14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2270" w:type="dxa"/>
            <w:tcBorders/>
            <w:shd w:fill="D5EAEA" w:val="clear"/>
            <w:vAlign w:val="center"/>
          </w:tcPr>
          <w:p>
            <w:pPr>
              <w:pStyle w:val="TableContents"/>
              <w:bidi w:val="0"/>
              <w:spacing w:before="0" w:after="283"/>
              <w:jc w:val="both"/>
              <w:rPr/>
            </w:pPr>
            <w:r>
              <w:rPr/>
              <w:t> </w:t>
            </w:r>
          </w:p>
        </w:tc>
        <w:tc>
          <w:tcPr>
            <w:tcW w:w="665" w:type="dxa"/>
            <w:tcBorders/>
            <w:shd w:fill="D5EAEA" w:val="clear"/>
            <w:vAlign w:val="center"/>
          </w:tcPr>
          <w:p>
            <w:pPr>
              <w:pStyle w:val="TableContents"/>
              <w:bidi w:val="0"/>
              <w:spacing w:before="0" w:after="283"/>
              <w:jc w:val="center"/>
              <w:rPr/>
            </w:pPr>
            <w:r>
              <w:rPr/>
              <w:t> </w:t>
            </w:r>
          </w:p>
        </w:tc>
        <w:tc>
          <w:tcPr>
            <w:tcW w:w="1190" w:type="dxa"/>
            <w:tcBorders>
              <w:bottom w:val="single" w:sz="8" w:space="0" w:color="000000"/>
            </w:tcBorders>
            <w:shd w:fill="D5EAEA"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75,457</w:t>
            </w:r>
          </w:p>
        </w:tc>
        <w:tc>
          <w:tcPr>
            <w:tcW w:w="1640" w:type="dxa"/>
            <w:tcBorders>
              <w:bottom w:val="single" w:sz="8" w:space="0" w:color="000000"/>
            </w:tcBorders>
            <w:shd w:fill="D5EAEA"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21,669</w:t>
            </w:r>
          </w:p>
        </w:tc>
        <w:tc>
          <w:tcPr>
            <w:tcW w:w="1413" w:type="dxa"/>
            <w:tcBorders>
              <w:bottom w:val="single" w:sz="8" w:space="0" w:color="000000"/>
            </w:tcBorders>
            <w:shd w:fill="D5EAEA"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6,348</w:t>
            </w:r>
          </w:p>
        </w:tc>
        <w:tc>
          <w:tcPr>
            <w:tcW w:w="1456" w:type="dxa"/>
            <w:tcBorders>
              <w:bottom w:val="single" w:sz="8" w:space="0" w:color="000000"/>
            </w:tcBorders>
            <w:shd w:fill="D5EAEA"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2,164</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Due to the immaterial values attributable to the non-controlling interest in these subsidiaries, no additional information is disclosed in these unaudited condensed consolidated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declared to non-controlling interests represent the share of the subsidiary’s profits that are distributed to the shareholders who hold the non-controlling interests. These dividends are accounted for as a decrease in equity attributable to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six-month period ending June 30, 2026, a dividend of US$4.8 million was paid to Patria Asset Management.</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35"/>
        <w:gridCol w:w="2195"/>
      </w:tblGrid>
      <w:tr>
        <w:trPr/>
        <w:tc>
          <w:tcPr>
            <w:tcW w:w="335" w:type="dxa"/>
            <w:tcBorders/>
            <w:vAlign w:val="center"/>
          </w:tcPr>
          <w:p>
            <w:pPr>
              <w:pStyle w:val="TableContents"/>
              <w:bidi w:val="0"/>
              <w:spacing w:before="0" w:after="283"/>
              <w:jc w:val="left"/>
              <w:rPr/>
            </w:pPr>
            <w:r>
              <w:rPr/>
              <w:t>30.</w:t>
            </w:r>
          </w:p>
        </w:tc>
        <w:tc>
          <w:tcPr>
            <w:tcW w:w="2195" w:type="dxa"/>
            <w:tcBorders/>
            <w:vAlign w:val="center"/>
          </w:tcPr>
          <w:p>
            <w:pPr>
              <w:pStyle w:val="TableContents"/>
              <w:bidi w:val="0"/>
              <w:spacing w:before="0" w:after="283"/>
              <w:jc w:val="left"/>
              <w:rPr/>
            </w:pPr>
            <w:r>
              <w:rPr/>
              <w:t>Business combinations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business combinations were accounted for under the acquisition method: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20"/>
        <w:gridCol w:w="9731"/>
      </w:tblGrid>
      <w:tr>
        <w:trPr/>
        <w:tc>
          <w:tcPr>
            <w:tcW w:w="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b/>
              </w:rPr>
            </w:pPr>
            <w:r>
              <w:rPr>
                <w:b/>
              </w:rPr>
              <w:t>(a)</w:t>
            </w:r>
          </w:p>
        </w:tc>
        <w:tc>
          <w:tcPr>
            <w:tcW w:w="9731" w:type="dxa"/>
            <w:tcBorders/>
            <w:vAlign w:val="center"/>
          </w:tcPr>
          <w:p>
            <w:pPr>
              <w:pStyle w:val="TableContents"/>
              <w:bidi w:val="0"/>
              <w:spacing w:before="0" w:after="283"/>
              <w:jc w:val="both"/>
              <w:rPr>
                <w:b/>
                <w:i/>
              </w:rPr>
            </w:pPr>
            <w:r>
              <w:rPr>
                <w:b/>
                <w:i/>
              </w:rPr>
              <w:t>Solis Investimentos Ltda and Iter Gestora de Recursos Ltda in Brazil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the Company completed a transaction to obtain a controlling interest of 51% in the voting equity interest of Solis Investimentos Ltda., a Brazilian investment manager specializing in structuring and management of Collateralized Loan Obligations (“CLOs“), for a total consideration transferred of US$33.9 million (R$175.3 million).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six-months ending June 30, 2026, the Company paid in cash US$25.7 million of the total consideration. The remaining balance which is recorded as consideration payable in the amount of US$8.2 million will be settled in cash in January 2027 (Note 21(b)). The remaining 49% equity interest continues to be held by the existing shareholders and is presented as non-controlling interests.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business contributed revenue of US$10.0 million and net income of US$3.3 million to the Company for the period January 2, 2026, to June 30, 2026. The acquisition-related cost of US$0.4 million is included in the Company’s condensed consolidated statement of income for the period ended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the Company through its subsidiary Solis completed a transaction acquiring 51% controlling interest in Iter Gestora de Recursos Ltda (“Iter”), for a total consideration transferred of US$8.9 million (R$46.2 million). During the quarter ended June 30, 2026, the Company recorded a price adjustment of US$2.0 million (R$10.6 million), relating to Iter acquisition. The adjustment resulted in an increase in the consideration payable and a corresponding increase in goodwill.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six-months ending June 30, 2026, the Company paid US$6.7 million (R$34.9 million) in cash, with the remaining balance of US$4.2 million (R$21.9 million), recorded in consideration payable (Note 21) and payable in cash in July 2026 and January 2027.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49% equity interest continues to be held by the existing shareholders and is presented as non-controlling interests.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business contributed revenue of US$2.2 million and net profit of US$ 1.5 million to the Company for the period January 2, 2026 to June 30, 2026. There are no acquisition-related costs included in the Company’s condensed consolidated statement of income for the period ended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recognized from the acquisitions of Solis and Iter is primarily attributable to expected synergies from combining the acquired credit origination, structuring, investment management and monitoring capabilities with the Company’s existing platform, as well as future growth opportunities and the value of the assembled workforce. The goodwill recognized from the business combination with Solis and Iter will be deductible for tax purposes, however under Brazilian tax regulations, this benefit is only allowed after the completion of the legal merger of the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purchase consideration paid, the net identifiable assets acquired, non-controlling interest and goodwill recognized are listed in the table below.</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829"/>
        <w:gridCol w:w="9273"/>
      </w:tblGrid>
      <w:tr>
        <w:trPr/>
        <w:tc>
          <w:tcPr>
            <w:tcW w:w="10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b/>
              </w:rPr>
            </w:pPr>
            <w:r>
              <w:rPr>
                <w:b/>
              </w:rPr>
              <w:t>(b)</w:t>
            </w:r>
          </w:p>
        </w:tc>
        <w:tc>
          <w:tcPr>
            <w:tcW w:w="9273" w:type="dxa"/>
            <w:tcBorders/>
            <w:vAlign w:val="center"/>
          </w:tcPr>
          <w:p>
            <w:pPr>
              <w:pStyle w:val="TableContents"/>
              <w:bidi w:val="0"/>
              <w:spacing w:before="0" w:after="283"/>
              <w:jc w:val="left"/>
              <w:rPr>
                <w:b/>
                <w:i/>
              </w:rPr>
            </w:pPr>
            <w:r>
              <w:rPr>
                <w:b/>
                <w:i/>
              </w:rPr>
              <w:t>RBR Gestão de Recursos in Brazil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the Company completed the acquisition of a 100% interest in RBR Gestão de Recursos Ltda. ("RBR"), a Brazilian investment manager overseeing twelve funds, eleven of which are listed Real Estate Investment Trusts (“REITs”) primarily focused on credit and multi-asset strategies.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transferred was US$91.4 million (R$477.3 million). During the six-months ending June 30, 2026, the Company paid US$22.7 million and US$1.0 million respectively of the total consideration, with the remaining balance to be settled in cash up to 2029 (Note 21(b)).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RBR, the Company recognized the acquired business as a single integrated operation, with the economic substance of the transaction being the acquisition of RBR’s fund management activities. Following the acquisition date, the activities of RBR were fully integrated into the Company’s existing operations and are not separately monitored or reported being impracticable to disclose RBR’s revenue and profit or loss since the acquisition date on a standalone basis. Consequently, the Company is unable to reliably determine the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and profit or loss attributable to RBR for the period from the acquisition date to the reporting date, and therefore such amounts have not been disclosed separately, as they are included within the consolidated results of the Company. Management also concluded that the impact as if the acquisition had occurred on January 1, 2026, would not have been material. The acquisition-related cost of US$0.3 million is included in the Company’s condensed consolidated statement of income, in the other expenses, for the period ended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recognized from the acquisition of RBR is primarily attributable to expected synergies from the integration of RBR’s fund management activities into the Company’s Real Estate platform, including expanded scale, fundraising opportunities, product diversification and operational efficiencies. The goodwill recognized in connection with the RBR acquisition is expected to qualify for tax deductibility under Brazilian tax legislation.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10"/>
        <w:gridCol w:w="9056"/>
      </w:tblGrid>
      <w:tr>
        <w:trPr/>
        <w:tc>
          <w:tcPr>
            <w:tcW w:w="13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b/>
              </w:rPr>
            </w:pPr>
            <w:r>
              <w:rPr>
                <w:b/>
              </w:rPr>
              <w:t>(c)</w:t>
            </w:r>
          </w:p>
        </w:tc>
        <w:tc>
          <w:tcPr>
            <w:tcW w:w="9056" w:type="dxa"/>
            <w:tcBorders/>
            <w:vAlign w:val="center"/>
          </w:tcPr>
          <w:p>
            <w:pPr>
              <w:pStyle w:val="TableContents"/>
              <w:bidi w:val="0"/>
              <w:spacing w:before="0" w:after="283"/>
              <w:jc w:val="left"/>
              <w:rPr>
                <w:b/>
                <w:i/>
              </w:rPr>
            </w:pPr>
            <w:r>
              <w:rPr>
                <w:b/>
                <w:i/>
              </w:rPr>
              <w:t>WP Global Partners Inc.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the Company completed the acquisition of a 100% interest in WP Global Partners Inc. ("WP"), a US-based private equity solutions manager, with capabilities across private equity primaries and co-investments, strengthening Patria’s US private equity platform and presence.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transferred was US$50.5 million, which includes a consideration payable of US$30.4 million, a contingent earn-out component of US$11.7 million and a deferred consideration of US$8.4million, which is updated by adjusting for the time value of money using the SOFR plus credit spread. The contractual price (unadjusted by SOFR plus credit spread) was US$50 million.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paid in cash US$15.4 million of the total consideration payable. The settlement of the consideration payable of US$15.0 million will take place on April 1, 2027 (Note 21.b(a)(x)).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the contingent consideration is based on the achievement of performance targets during the earn-out period ending in December 2028. The potential undiscounted amount of future payments under the arrangement ranges from US$ nil to US$50.0 million.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contingent consideration as of June 30, 2026 was US$11.7 million and is classified within Level 3 of the fair value hierarchy. The fair value was determined using an income approach based on probability-weighted forecasts is dependent on performance related measures. Significant unobservable inputs included forecast, probability assessments of achieving the relevant performance targets, and the discount rate applied to expected future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consideration under the terms of the acquisition agreement represents 50% of the final purchase price, together with interest accrued at the applicable Term SOFR rate from the acquisition date until the settlement date. The obligation is contractually payable in cash and is scheduled to be settled between October 2026 and February 2029 (Note 21(b)). The amount of the deferred consideration measured at fair value as of June 30, 2026 was US$8.4 million (adjusted for the time value of money using SOFR plus credit spread).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business contributed revenue of US$ 4.1 million and net profit of US$ 0.8 million to the Company for the period April 1, 2026 to June 30, 2026. The acquisition-related costs of US$5.1 million are included in the Company’s condensed consolidated statement of income for the period ended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recognized from the acquisition of WP is primarily attributable to expected benefits from combining WP’s investment management platform with Patria’s Global Private Market Solutions Business. The Company is currently assessing the tax treatment of the goodwill arising from the acquisition. As of June 30, 2026, the determination of whether, and to what extent, the goodwill will be deductible for tax purposes has not been finalized.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purchase consideration paid, the net identifiable assets acquired, non-controlling interest and goodwill recognized are listed in the table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business combinations had happened at the beginning of the period, the Net Revenue and Net Income for the Company consolidated would have been US$213.1 million and US$17.4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of the intangible assets (contractual rights, rights under a service agreement and goodwill) and the consideration payable remain provisional as of June 30, 2026, pending completion of the independent valuation. During the measurement period, provisional amounts may be adjusted to reflect information about facts and circumstances that existed at the respective acquisition dates. Any such adjustments will be recognized retrospectively, with a corresponding impact on goodwill,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purchase consideration paid, the net identifiable assets acquired, non-controlling interest and goodwill recognized are listed in the table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4983"/>
        <w:gridCol w:w="1333"/>
        <w:gridCol w:w="1333"/>
        <w:gridCol w:w="1423"/>
        <w:gridCol w:w="1133"/>
      </w:tblGrid>
      <w:tr>
        <w:trPr/>
        <w:tc>
          <w:tcPr>
            <w:tcW w:w="4983" w:type="dxa"/>
            <w:tcBorders/>
            <w:vAlign w:val="center"/>
          </w:tcPr>
          <w:p>
            <w:pPr>
              <w:pStyle w:val="TableContents"/>
              <w:bidi w:val="0"/>
              <w:spacing w:before="0" w:after="283"/>
              <w:jc w:val="left"/>
              <w:rPr/>
            </w:pPr>
            <w:r>
              <w:rPr/>
              <w:t> </w:t>
            </w:r>
          </w:p>
        </w:tc>
        <w:tc>
          <w:tcPr>
            <w:tcW w:w="1333"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Solis</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 2026</w:t>
            </w:r>
          </w:p>
        </w:tc>
        <w:tc>
          <w:tcPr>
            <w:tcW w:w="1333"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Iter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 2026</w:t>
            </w:r>
          </w:p>
        </w:tc>
        <w:tc>
          <w:tcPr>
            <w:tcW w:w="1423"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100% RBR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 2026</w:t>
            </w:r>
          </w:p>
        </w:tc>
        <w:tc>
          <w:tcPr>
            <w:tcW w:w="1133"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100% WP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April 1, 2026</w:t>
            </w:r>
            <w:r>
              <w:rPr>
                <w:rFonts w:ascii="Times New Roman;Times;Serif" w:hAnsi="Times New Roman;Times;Serif"/>
                <w:b w:val="false"/>
                <w:i w:val="false"/>
                <w:caps w:val="false"/>
                <w:smallCaps w:val="false"/>
                <w:sz w:val="20"/>
              </w:rPr>
              <w:t> </w:t>
            </w:r>
          </w:p>
        </w:tc>
      </w:tr>
      <w:tr>
        <w:trPr/>
        <w:tc>
          <w:tcPr>
            <w:tcW w:w="4983"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left"/>
              <w:rPr/>
            </w:pPr>
            <w:r>
              <w:rPr/>
              <w:t> </w:t>
            </w:r>
          </w:p>
        </w:tc>
      </w:tr>
      <w:tr>
        <w:trPr/>
        <w:tc>
          <w:tcPr>
            <w:tcW w:w="4983" w:type="dxa"/>
            <w:tcBorders/>
            <w:shd w:fill="D5EAEA" w:val="clear"/>
            <w:vAlign w:val="center"/>
          </w:tcPr>
          <w:p>
            <w:pPr>
              <w:pStyle w:val="TableContents"/>
              <w:bidi w:val="0"/>
              <w:spacing w:before="0" w:after="283"/>
              <w:jc w:val="left"/>
              <w:rPr>
                <w:sz w:val="20"/>
              </w:rPr>
            </w:pPr>
            <w:r>
              <w:rPr>
                <w:sz w:val="20"/>
              </w:rPr>
              <w:t>Cash consideration paid (a)</w:t>
            </w:r>
          </w:p>
        </w:tc>
        <w:tc>
          <w:tcPr>
            <w:tcW w:w="1333" w:type="dxa"/>
            <w:tcBorders/>
            <w:shd w:fill="D5EAEA" w:val="clear"/>
            <w:vAlign w:val="center"/>
          </w:tcPr>
          <w:p>
            <w:pPr>
              <w:pStyle w:val="TableContents"/>
              <w:bidi w:val="0"/>
              <w:spacing w:before="0" w:after="283"/>
              <w:jc w:val="right"/>
              <w:rPr>
                <w:sz w:val="20"/>
              </w:rPr>
            </w:pPr>
            <w:r>
              <w:rPr>
                <w:sz w:val="20"/>
              </w:rPr>
              <w:t>25,672</w:t>
            </w:r>
          </w:p>
        </w:tc>
        <w:tc>
          <w:tcPr>
            <w:tcW w:w="1333" w:type="dxa"/>
            <w:tcBorders/>
            <w:shd w:fill="D5EAEA" w:val="clear"/>
            <w:vAlign w:val="center"/>
          </w:tcPr>
          <w:p>
            <w:pPr>
              <w:pStyle w:val="TableContents"/>
              <w:bidi w:val="0"/>
              <w:spacing w:before="0" w:after="283"/>
              <w:jc w:val="right"/>
              <w:rPr>
                <w:sz w:val="20"/>
              </w:rPr>
            </w:pPr>
            <w:r>
              <w:rPr>
                <w:sz w:val="20"/>
              </w:rPr>
              <w:t>6,739</w:t>
            </w:r>
          </w:p>
        </w:tc>
        <w:tc>
          <w:tcPr>
            <w:tcW w:w="1423" w:type="dxa"/>
            <w:tcBorders/>
            <w:shd w:fill="D5EAEA" w:val="clear"/>
            <w:vAlign w:val="center"/>
          </w:tcPr>
          <w:p>
            <w:pPr>
              <w:pStyle w:val="TableContents"/>
              <w:bidi w:val="0"/>
              <w:spacing w:before="0" w:after="283"/>
              <w:jc w:val="right"/>
              <w:rPr>
                <w:sz w:val="20"/>
              </w:rPr>
            </w:pPr>
            <w:r>
              <w:rPr>
                <w:sz w:val="20"/>
              </w:rPr>
              <w:t>22,775</w:t>
            </w:r>
          </w:p>
        </w:tc>
        <w:tc>
          <w:tcPr>
            <w:tcW w:w="1133" w:type="dxa"/>
            <w:tcBorders/>
            <w:shd w:fill="D5EAEA" w:val="clear"/>
            <w:vAlign w:val="center"/>
          </w:tcPr>
          <w:p>
            <w:pPr>
              <w:pStyle w:val="TableContents"/>
              <w:bidi w:val="0"/>
              <w:spacing w:before="0" w:after="283"/>
              <w:jc w:val="right"/>
              <w:rPr>
                <w:sz w:val="20"/>
              </w:rPr>
            </w:pPr>
            <w:r>
              <w:rPr>
                <w:sz w:val="20"/>
              </w:rPr>
              <w:t>15,394</w:t>
            </w:r>
          </w:p>
        </w:tc>
      </w:tr>
      <w:tr>
        <w:trPr/>
        <w:tc>
          <w:tcPr>
            <w:tcW w:w="4983" w:type="dxa"/>
            <w:tcBorders/>
            <w:shd w:fill="FFFFFF" w:val="clear"/>
            <w:vAlign w:val="center"/>
          </w:tcPr>
          <w:p>
            <w:pPr>
              <w:pStyle w:val="TableContents"/>
              <w:bidi w:val="0"/>
              <w:spacing w:before="0" w:after="283"/>
              <w:jc w:val="left"/>
              <w:rPr>
                <w:sz w:val="20"/>
              </w:rPr>
            </w:pPr>
            <w:r>
              <w:rPr>
                <w:sz w:val="20"/>
              </w:rPr>
              <w:t>Consideration payable (note 21(b))</w:t>
            </w:r>
          </w:p>
        </w:tc>
        <w:tc>
          <w:tcPr>
            <w:tcW w:w="1333" w:type="dxa"/>
            <w:tcBorders/>
            <w:shd w:fill="FFFFFF" w:val="clear"/>
            <w:vAlign w:val="center"/>
          </w:tcPr>
          <w:p>
            <w:pPr>
              <w:pStyle w:val="TableContents"/>
              <w:bidi w:val="0"/>
              <w:spacing w:before="0" w:after="283"/>
              <w:jc w:val="right"/>
              <w:rPr>
                <w:sz w:val="20"/>
              </w:rPr>
            </w:pPr>
            <w:r>
              <w:rPr>
                <w:sz w:val="20"/>
              </w:rPr>
              <w:t>8,191</w:t>
            </w:r>
          </w:p>
        </w:tc>
        <w:tc>
          <w:tcPr>
            <w:tcW w:w="1333" w:type="dxa"/>
            <w:tcBorders/>
            <w:shd w:fill="FFFFFF" w:val="clear"/>
            <w:vAlign w:val="center"/>
          </w:tcPr>
          <w:p>
            <w:pPr>
              <w:pStyle w:val="TableContents"/>
              <w:bidi w:val="0"/>
              <w:spacing w:before="0" w:after="283"/>
              <w:jc w:val="right"/>
              <w:rPr>
                <w:sz w:val="20"/>
              </w:rPr>
            </w:pPr>
            <w:r>
              <w:rPr>
                <w:sz w:val="20"/>
              </w:rPr>
              <w:t>4,227</w:t>
            </w:r>
          </w:p>
        </w:tc>
        <w:tc>
          <w:tcPr>
            <w:tcW w:w="1423" w:type="dxa"/>
            <w:tcBorders/>
            <w:shd w:fill="FFFFFF" w:val="clear"/>
            <w:vAlign w:val="center"/>
          </w:tcPr>
          <w:p>
            <w:pPr>
              <w:pStyle w:val="TableContents"/>
              <w:bidi w:val="0"/>
              <w:spacing w:before="0" w:after="283"/>
              <w:jc w:val="right"/>
              <w:rPr>
                <w:sz w:val="20"/>
              </w:rPr>
            </w:pPr>
            <w:r>
              <w:rPr>
                <w:sz w:val="20"/>
              </w:rPr>
              <w:t>68,595</w:t>
            </w:r>
          </w:p>
        </w:tc>
        <w:tc>
          <w:tcPr>
            <w:tcW w:w="1133" w:type="dxa"/>
            <w:tcBorders/>
            <w:shd w:fill="FFFFFF" w:val="clear"/>
            <w:vAlign w:val="center"/>
          </w:tcPr>
          <w:p>
            <w:pPr>
              <w:pStyle w:val="TableContents"/>
              <w:bidi w:val="0"/>
              <w:spacing w:before="0" w:after="283"/>
              <w:jc w:val="right"/>
              <w:rPr>
                <w:sz w:val="20"/>
              </w:rPr>
            </w:pPr>
            <w:r>
              <w:rPr>
                <w:sz w:val="20"/>
              </w:rPr>
              <w:t>22,939</w:t>
            </w:r>
          </w:p>
        </w:tc>
      </w:tr>
      <w:tr>
        <w:trPr/>
        <w:tc>
          <w:tcPr>
            <w:tcW w:w="4983" w:type="dxa"/>
            <w:tcBorders/>
            <w:shd w:fill="D5EAEA" w:val="clear"/>
            <w:vAlign w:val="center"/>
          </w:tcPr>
          <w:p>
            <w:pPr>
              <w:pStyle w:val="TableContents"/>
              <w:bidi w:val="0"/>
              <w:spacing w:before="0" w:after="283"/>
              <w:jc w:val="left"/>
              <w:rPr>
                <w:sz w:val="20"/>
              </w:rPr>
            </w:pPr>
            <w:r>
              <w:rPr>
                <w:sz w:val="20"/>
              </w:rPr>
              <w:t>Contingent consideration payable (note 21(b))</w:t>
            </w:r>
          </w:p>
        </w:tc>
        <w:tc>
          <w:tcPr>
            <w:tcW w:w="1333" w:type="dxa"/>
            <w:tcBorders/>
            <w:shd w:fill="D5EAEA" w:val="clear"/>
            <w:vAlign w:val="center"/>
          </w:tcPr>
          <w:p>
            <w:pPr>
              <w:pStyle w:val="TableContents"/>
              <w:bidi w:val="0"/>
              <w:spacing w:before="0" w:after="283"/>
              <w:jc w:val="right"/>
              <w:rPr>
                <w:sz w:val="20"/>
              </w:rPr>
            </w:pPr>
            <w:r>
              <w:rPr>
                <w:sz w:val="20"/>
              </w:rPr>
              <w:t>-</w:t>
            </w:r>
          </w:p>
        </w:tc>
        <w:tc>
          <w:tcPr>
            <w:tcW w:w="1333" w:type="dxa"/>
            <w:tcBorders/>
            <w:shd w:fill="D5EAEA" w:val="clear"/>
            <w:vAlign w:val="center"/>
          </w:tcPr>
          <w:p>
            <w:pPr>
              <w:pStyle w:val="TableContents"/>
              <w:bidi w:val="0"/>
              <w:spacing w:before="0" w:after="283"/>
              <w:jc w:val="right"/>
              <w:rPr>
                <w:sz w:val="20"/>
              </w:rPr>
            </w:pPr>
            <w:r>
              <w:rPr>
                <w:sz w:val="20"/>
              </w:rPr>
              <w:t>-</w:t>
            </w:r>
          </w:p>
        </w:tc>
        <w:tc>
          <w:tcPr>
            <w:tcW w:w="1423" w:type="dxa"/>
            <w:tcBorders/>
            <w:shd w:fill="D5EAEA" w:val="clear"/>
            <w:vAlign w:val="center"/>
          </w:tcPr>
          <w:p>
            <w:pPr>
              <w:pStyle w:val="TableContents"/>
              <w:bidi w:val="0"/>
              <w:spacing w:before="0" w:after="283"/>
              <w:jc w:val="right"/>
              <w:rPr>
                <w:sz w:val="20"/>
              </w:rPr>
            </w:pPr>
            <w:r>
              <w:rPr>
                <w:sz w:val="20"/>
              </w:rPr>
              <w:t>-</w:t>
            </w:r>
          </w:p>
        </w:tc>
        <w:tc>
          <w:tcPr>
            <w:tcW w:w="1133" w:type="dxa"/>
            <w:tcBorders/>
            <w:shd w:fill="D5EAEA" w:val="clear"/>
            <w:vAlign w:val="center"/>
          </w:tcPr>
          <w:p>
            <w:pPr>
              <w:pStyle w:val="TableContents"/>
              <w:bidi w:val="0"/>
              <w:spacing w:before="0" w:after="283"/>
              <w:jc w:val="right"/>
              <w:rPr>
                <w:sz w:val="20"/>
              </w:rPr>
            </w:pPr>
            <w:r>
              <w:rPr>
                <w:sz w:val="20"/>
              </w:rPr>
              <w:t>11,651</w:t>
            </w:r>
          </w:p>
        </w:tc>
      </w:tr>
      <w:tr>
        <w:trPr/>
        <w:tc>
          <w:tcPr>
            <w:tcW w:w="4983" w:type="dxa"/>
            <w:tcBorders/>
            <w:shd w:fill="FFFFFF" w:val="clear"/>
            <w:vAlign w:val="center"/>
          </w:tcPr>
          <w:p>
            <w:pPr>
              <w:pStyle w:val="TableContents"/>
              <w:bidi w:val="0"/>
              <w:spacing w:before="0" w:after="283"/>
              <w:jc w:val="left"/>
              <w:rPr>
                <w:sz w:val="20"/>
              </w:rPr>
            </w:pPr>
            <w:r>
              <w:rPr>
                <w:sz w:val="20"/>
              </w:rPr>
              <w:t>Total consideration transferred</w:t>
            </w:r>
          </w:p>
        </w:tc>
        <w:tc>
          <w:tcPr>
            <w:tcW w:w="1333" w:type="dxa"/>
            <w:tcBorders>
              <w:top w:val="single" w:sz="8" w:space="0" w:color="000000"/>
            </w:tcBorders>
            <w:shd w:fill="FFFFFF" w:val="clear"/>
            <w:tcMar>
              <w:top w:w="28" w:type="dxa"/>
            </w:tcMar>
            <w:vAlign w:val="center"/>
          </w:tcPr>
          <w:p>
            <w:pPr>
              <w:pStyle w:val="TableContents"/>
              <w:bidi w:val="0"/>
              <w:spacing w:before="0" w:after="283"/>
              <w:jc w:val="right"/>
              <w:rPr>
                <w:b/>
                <w:sz w:val="20"/>
              </w:rPr>
            </w:pPr>
            <w:r>
              <w:rPr>
                <w:b/>
                <w:sz w:val="20"/>
              </w:rPr>
              <w:t>33,863</w:t>
            </w:r>
          </w:p>
        </w:tc>
        <w:tc>
          <w:tcPr>
            <w:tcW w:w="1333" w:type="dxa"/>
            <w:tcBorders>
              <w:top w:val="single" w:sz="8" w:space="0" w:color="000000"/>
            </w:tcBorders>
            <w:shd w:fill="FFFFFF" w:val="clear"/>
            <w:tcMar>
              <w:top w:w="28" w:type="dxa"/>
            </w:tcMar>
            <w:vAlign w:val="center"/>
          </w:tcPr>
          <w:p>
            <w:pPr>
              <w:pStyle w:val="TableContents"/>
              <w:bidi w:val="0"/>
              <w:spacing w:before="0" w:after="283"/>
              <w:jc w:val="right"/>
              <w:rPr>
                <w:b/>
                <w:sz w:val="20"/>
              </w:rPr>
            </w:pPr>
            <w:r>
              <w:rPr>
                <w:b/>
                <w:sz w:val="20"/>
              </w:rPr>
              <w:t>10,966</w:t>
            </w:r>
          </w:p>
        </w:tc>
        <w:tc>
          <w:tcPr>
            <w:tcW w:w="1423" w:type="dxa"/>
            <w:tcBorders>
              <w:top w:val="single" w:sz="8" w:space="0" w:color="000000"/>
            </w:tcBorders>
            <w:shd w:fill="FFFFFF" w:val="clear"/>
            <w:tcMar>
              <w:top w:w="28" w:type="dxa"/>
            </w:tcMar>
            <w:vAlign w:val="center"/>
          </w:tcPr>
          <w:p>
            <w:pPr>
              <w:pStyle w:val="TableContents"/>
              <w:bidi w:val="0"/>
              <w:spacing w:before="0" w:after="283"/>
              <w:jc w:val="right"/>
              <w:rPr>
                <w:b/>
                <w:sz w:val="20"/>
              </w:rPr>
            </w:pPr>
            <w:r>
              <w:rPr>
                <w:b/>
                <w:sz w:val="20"/>
              </w:rPr>
              <w:t>91,370</w:t>
            </w:r>
          </w:p>
        </w:tc>
        <w:tc>
          <w:tcPr>
            <w:tcW w:w="1133" w:type="dxa"/>
            <w:tcBorders>
              <w:top w:val="single" w:sz="8" w:space="0" w:color="000000"/>
            </w:tcBorders>
            <w:shd w:fill="FFFFFF" w:val="clear"/>
            <w:tcMar>
              <w:top w:w="28" w:type="dxa"/>
            </w:tcMar>
            <w:vAlign w:val="center"/>
          </w:tcPr>
          <w:p>
            <w:pPr>
              <w:pStyle w:val="TableContents"/>
              <w:bidi w:val="0"/>
              <w:spacing w:before="0" w:after="283"/>
              <w:jc w:val="right"/>
              <w:rPr>
                <w:b/>
                <w:sz w:val="20"/>
              </w:rPr>
            </w:pPr>
            <w:r>
              <w:rPr>
                <w:b/>
                <w:sz w:val="20"/>
              </w:rPr>
              <w:t>49,984</w:t>
            </w:r>
          </w:p>
        </w:tc>
      </w:tr>
      <w:tr>
        <w:trPr/>
        <w:tc>
          <w:tcPr>
            <w:tcW w:w="4983" w:type="dxa"/>
            <w:tcBorders/>
            <w:shd w:fill="D5EAEA" w:val="clear"/>
            <w:vAlign w:val="center"/>
          </w:tcPr>
          <w:p>
            <w:pPr>
              <w:pStyle w:val="TableContents"/>
              <w:bidi w:val="0"/>
              <w:spacing w:before="0" w:after="283"/>
              <w:jc w:val="left"/>
              <w:rPr/>
            </w:pPr>
            <w:r>
              <w:rPr/>
              <w:t> </w:t>
            </w:r>
          </w:p>
        </w:tc>
        <w:tc>
          <w:tcPr>
            <w:tcW w:w="1333" w:type="dxa"/>
            <w:tcBorders/>
            <w:shd w:fill="D5EAEA" w:val="clear"/>
            <w:vAlign w:val="center"/>
          </w:tcPr>
          <w:p>
            <w:pPr>
              <w:pStyle w:val="TableContents"/>
              <w:bidi w:val="0"/>
              <w:spacing w:before="0" w:after="283"/>
              <w:jc w:val="right"/>
              <w:rPr/>
            </w:pPr>
            <w:r>
              <w:rPr/>
              <w:t> </w:t>
            </w:r>
          </w:p>
        </w:tc>
        <w:tc>
          <w:tcPr>
            <w:tcW w:w="1333" w:type="dxa"/>
            <w:tcBorders/>
            <w:shd w:fill="D5EAEA" w:val="clear"/>
            <w:vAlign w:val="center"/>
          </w:tcPr>
          <w:p>
            <w:pPr>
              <w:pStyle w:val="TableContents"/>
              <w:bidi w:val="0"/>
              <w:spacing w:before="0" w:after="283"/>
              <w:jc w:val="right"/>
              <w:rPr/>
            </w:pPr>
            <w:r>
              <w:rPr/>
              <w:t> </w:t>
            </w:r>
          </w:p>
        </w:tc>
        <w:tc>
          <w:tcPr>
            <w:tcW w:w="1423"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jc w:val="right"/>
              <w:rPr/>
            </w:pPr>
            <w:r>
              <w:rPr/>
              <w:t> </w:t>
            </w:r>
          </w:p>
        </w:tc>
      </w:tr>
      <w:tr>
        <w:trPr/>
        <w:tc>
          <w:tcPr>
            <w:tcW w:w="4983" w:type="dxa"/>
            <w:tcBorders/>
            <w:shd w:fill="FFFFFF" w:val="clear"/>
            <w:vAlign w:val="center"/>
          </w:tcPr>
          <w:p>
            <w:pPr>
              <w:pStyle w:val="TableContents"/>
              <w:bidi w:val="0"/>
              <w:spacing w:before="0" w:after="283"/>
              <w:jc w:val="left"/>
              <w:rPr>
                <w:sz w:val="20"/>
              </w:rPr>
            </w:pPr>
            <w:r>
              <w:rPr>
                <w:sz w:val="20"/>
              </w:rPr>
              <w:t>Non-controlling interest (b)</w:t>
            </w:r>
          </w:p>
        </w:tc>
        <w:tc>
          <w:tcPr>
            <w:tcW w:w="1333" w:type="dxa"/>
            <w:tcBorders/>
            <w:shd w:fill="FFFFFF" w:val="clear"/>
            <w:vAlign w:val="center"/>
          </w:tcPr>
          <w:p>
            <w:pPr>
              <w:pStyle w:val="TableContents"/>
              <w:bidi w:val="0"/>
              <w:spacing w:before="0" w:after="283"/>
              <w:jc w:val="right"/>
              <w:rPr>
                <w:sz w:val="20"/>
              </w:rPr>
            </w:pPr>
            <w:r>
              <w:rPr>
                <w:sz w:val="20"/>
              </w:rPr>
              <w:t>24,288</w:t>
            </w:r>
          </w:p>
        </w:tc>
        <w:tc>
          <w:tcPr>
            <w:tcW w:w="1333" w:type="dxa"/>
            <w:tcBorders/>
            <w:shd w:fill="FFFFFF" w:val="clear"/>
            <w:vAlign w:val="center"/>
          </w:tcPr>
          <w:p>
            <w:pPr>
              <w:pStyle w:val="TableContents"/>
              <w:bidi w:val="0"/>
              <w:spacing w:before="0" w:after="283"/>
              <w:jc w:val="right"/>
              <w:rPr>
                <w:sz w:val="20"/>
              </w:rPr>
            </w:pPr>
            <w:r>
              <w:rPr>
                <w:sz w:val="20"/>
              </w:rPr>
              <w:t>8,092</w:t>
            </w:r>
          </w:p>
        </w:tc>
        <w:tc>
          <w:tcPr>
            <w:tcW w:w="1423" w:type="dxa"/>
            <w:tcBorders/>
            <w:shd w:fill="FFFFFF" w:val="clear"/>
            <w:vAlign w:val="center"/>
          </w:tcPr>
          <w:p>
            <w:pPr>
              <w:pStyle w:val="TableContents"/>
              <w:bidi w:val="0"/>
              <w:spacing w:before="0" w:after="283"/>
              <w:jc w:val="right"/>
              <w:rPr>
                <w:b/>
                <w:sz w:val="20"/>
              </w:rPr>
            </w:pPr>
            <w:r>
              <w:rPr>
                <w:b/>
                <w:sz w:val="20"/>
              </w:rPr>
              <w:t>-</w:t>
            </w:r>
          </w:p>
        </w:tc>
        <w:tc>
          <w:tcPr>
            <w:tcW w:w="1133" w:type="dxa"/>
            <w:tcBorders/>
            <w:shd w:fill="FFFFFF" w:val="clear"/>
            <w:vAlign w:val="center"/>
          </w:tcPr>
          <w:p>
            <w:pPr>
              <w:pStyle w:val="TableContents"/>
              <w:bidi w:val="0"/>
              <w:spacing w:before="0" w:after="283"/>
              <w:jc w:val="right"/>
              <w:rPr>
                <w:b/>
                <w:sz w:val="20"/>
              </w:rPr>
            </w:pPr>
            <w:r>
              <w:rPr>
                <w:b/>
                <w:sz w:val="20"/>
              </w:rPr>
              <w:t>-</w:t>
            </w:r>
          </w:p>
        </w:tc>
      </w:tr>
      <w:tr>
        <w:trPr/>
        <w:tc>
          <w:tcPr>
            <w:tcW w:w="4983" w:type="dxa"/>
            <w:tcBorders/>
            <w:shd w:fill="D5EAEA" w:val="clear"/>
            <w:vAlign w:val="center"/>
          </w:tcPr>
          <w:p>
            <w:pPr>
              <w:pStyle w:val="TableContents"/>
              <w:bidi w:val="0"/>
              <w:spacing w:before="0" w:after="283"/>
              <w:jc w:val="left"/>
              <w:rPr>
                <w:sz w:val="20"/>
              </w:rPr>
            </w:pPr>
            <w:r>
              <w:rPr>
                <w:sz w:val="20"/>
              </w:rPr>
              <w:t>Total consideration and non-controlling interest (b)</w:t>
            </w:r>
          </w:p>
        </w:tc>
        <w:tc>
          <w:tcPr>
            <w:tcW w:w="1333"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58,151</w:t>
            </w:r>
          </w:p>
        </w:tc>
        <w:tc>
          <w:tcPr>
            <w:tcW w:w="1333"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19,058</w:t>
            </w:r>
          </w:p>
        </w:tc>
        <w:tc>
          <w:tcPr>
            <w:tcW w:w="1423"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91,370</w:t>
            </w:r>
          </w:p>
        </w:tc>
        <w:tc>
          <w:tcPr>
            <w:tcW w:w="1133" w:type="dxa"/>
            <w:tcBorders>
              <w:top w:val="single" w:sz="8" w:space="0" w:color="000000"/>
              <w:bottom w:val="double" w:sz="4" w:space="0" w:color="000000"/>
            </w:tcBorders>
            <w:shd w:fill="D5EAEA" w:val="clear"/>
            <w:tcMar>
              <w:top w:w="28" w:type="dxa"/>
              <w:bottom w:w="28" w:type="dxa"/>
            </w:tcMar>
            <w:vAlign w:val="center"/>
          </w:tcPr>
          <w:p>
            <w:pPr>
              <w:pStyle w:val="TableContents"/>
              <w:bidi w:val="0"/>
              <w:spacing w:before="0" w:after="283"/>
              <w:jc w:val="right"/>
              <w:rPr>
                <w:b/>
                <w:sz w:val="20"/>
              </w:rPr>
            </w:pPr>
            <w:r>
              <w:rPr>
                <w:b/>
                <w:sz w:val="20"/>
              </w:rPr>
              <w:t>49,984</w:t>
            </w:r>
          </w:p>
        </w:tc>
      </w:tr>
      <w:tr>
        <w:trPr/>
        <w:tc>
          <w:tcPr>
            <w:tcW w:w="4983" w:type="dxa"/>
            <w:tcBorders/>
            <w:shd w:fill="FFFFFF" w:val="clear"/>
            <w:vAlign w:val="center"/>
          </w:tcPr>
          <w:p>
            <w:pPr>
              <w:pStyle w:val="TableContents"/>
              <w:bidi w:val="0"/>
              <w:spacing w:before="0" w:after="283"/>
              <w:jc w:val="right"/>
              <w:rPr/>
            </w:pPr>
            <w:r>
              <w:rPr/>
              <w:t> </w:t>
            </w:r>
          </w:p>
        </w:tc>
        <w:tc>
          <w:tcPr>
            <w:tcW w:w="1333" w:type="dxa"/>
            <w:tcBorders/>
            <w:shd w:fill="FFFFFF" w:val="clear"/>
            <w:vAlign w:val="center"/>
          </w:tcPr>
          <w:p>
            <w:pPr>
              <w:pStyle w:val="TableContents"/>
              <w:bidi w:val="0"/>
              <w:spacing w:before="0" w:after="283"/>
              <w:jc w:val="right"/>
              <w:rPr/>
            </w:pPr>
            <w:r>
              <w:rPr/>
              <w:t> </w:t>
            </w:r>
          </w:p>
        </w:tc>
        <w:tc>
          <w:tcPr>
            <w:tcW w:w="1333" w:type="dxa"/>
            <w:tcBorders/>
            <w:shd w:fill="FFFFFF" w:val="clear"/>
            <w:vAlign w:val="center"/>
          </w:tcPr>
          <w:p>
            <w:pPr>
              <w:pStyle w:val="TableContents"/>
              <w:bidi w:val="0"/>
              <w:spacing w:before="0" w:after="283"/>
              <w:jc w:val="right"/>
              <w:rPr/>
            </w:pPr>
            <w:r>
              <w:rPr/>
              <w:t> </w:t>
            </w:r>
          </w:p>
        </w:tc>
        <w:tc>
          <w:tcPr>
            <w:tcW w:w="1423"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jc w:val="right"/>
              <w:rPr/>
            </w:pPr>
            <w:r>
              <w:rPr/>
              <w:t> </w:t>
            </w:r>
          </w:p>
        </w:tc>
      </w:tr>
      <w:tr>
        <w:trPr/>
        <w:tc>
          <w:tcPr>
            <w:tcW w:w="4983" w:type="dxa"/>
            <w:tcBorders/>
            <w:shd w:fill="D5EAEA" w:val="clear"/>
            <w:vAlign w:val="center"/>
          </w:tcPr>
          <w:p>
            <w:pPr>
              <w:pStyle w:val="TableContents"/>
              <w:bidi w:val="0"/>
              <w:spacing w:before="0" w:after="283"/>
              <w:jc w:val="left"/>
              <w:rPr>
                <w:sz w:val="20"/>
              </w:rPr>
            </w:pPr>
            <w:r>
              <w:rPr>
                <w:sz w:val="20"/>
              </w:rPr>
              <w:t>Cash and cash equivalents</w:t>
            </w:r>
          </w:p>
        </w:tc>
        <w:tc>
          <w:tcPr>
            <w:tcW w:w="1333" w:type="dxa"/>
            <w:tcBorders/>
            <w:shd w:fill="D5EAEA" w:val="clear"/>
            <w:vAlign w:val="center"/>
          </w:tcPr>
          <w:p>
            <w:pPr>
              <w:pStyle w:val="TableContents"/>
              <w:bidi w:val="0"/>
              <w:spacing w:before="0" w:after="283"/>
              <w:jc w:val="right"/>
              <w:rPr>
                <w:sz w:val="20"/>
              </w:rPr>
            </w:pPr>
            <w:r>
              <w:rPr>
                <w:sz w:val="20"/>
              </w:rPr>
              <w:t>906</w:t>
            </w:r>
          </w:p>
        </w:tc>
        <w:tc>
          <w:tcPr>
            <w:tcW w:w="1333" w:type="dxa"/>
            <w:tcBorders/>
            <w:shd w:fill="D5EAEA" w:val="clear"/>
            <w:vAlign w:val="center"/>
          </w:tcPr>
          <w:p>
            <w:pPr>
              <w:pStyle w:val="TableContents"/>
              <w:bidi w:val="0"/>
              <w:spacing w:before="0" w:after="283"/>
              <w:jc w:val="right"/>
              <w:rPr>
                <w:sz w:val="20"/>
              </w:rPr>
            </w:pPr>
            <w:r>
              <w:rPr>
                <w:sz w:val="20"/>
              </w:rPr>
              <w:t>159</w:t>
            </w:r>
          </w:p>
        </w:tc>
        <w:tc>
          <w:tcPr>
            <w:tcW w:w="1423" w:type="dxa"/>
            <w:tcBorders/>
            <w:shd w:fill="D5EAEA" w:val="clear"/>
            <w:vAlign w:val="center"/>
          </w:tcPr>
          <w:p>
            <w:pPr>
              <w:pStyle w:val="TableContents"/>
              <w:bidi w:val="0"/>
              <w:spacing w:before="0" w:after="283"/>
              <w:jc w:val="right"/>
              <w:rPr>
                <w:sz w:val="20"/>
              </w:rPr>
            </w:pPr>
            <w:r>
              <w:rPr>
                <w:sz w:val="20"/>
              </w:rPr>
              <w:t>20</w:t>
            </w:r>
          </w:p>
        </w:tc>
        <w:tc>
          <w:tcPr>
            <w:tcW w:w="1133" w:type="dxa"/>
            <w:tcBorders/>
            <w:shd w:fill="D5EAEA" w:val="clear"/>
            <w:vAlign w:val="center"/>
          </w:tcPr>
          <w:p>
            <w:pPr>
              <w:pStyle w:val="TableContents"/>
              <w:bidi w:val="0"/>
              <w:spacing w:before="0" w:after="283"/>
              <w:jc w:val="right"/>
              <w:rPr>
                <w:sz w:val="20"/>
              </w:rPr>
            </w:pPr>
            <w:r>
              <w:rPr>
                <w:sz w:val="20"/>
              </w:rPr>
              <w:t xml:space="preserve">1,208 </w:t>
            </w:r>
          </w:p>
        </w:tc>
      </w:tr>
      <w:tr>
        <w:trPr/>
        <w:tc>
          <w:tcPr>
            <w:tcW w:w="4983" w:type="dxa"/>
            <w:tcBorders/>
            <w:shd w:fill="FFFFFF" w:val="clear"/>
            <w:vAlign w:val="center"/>
          </w:tcPr>
          <w:p>
            <w:pPr>
              <w:pStyle w:val="TableContents"/>
              <w:bidi w:val="0"/>
              <w:spacing w:before="0" w:after="283"/>
              <w:jc w:val="left"/>
              <w:rPr>
                <w:sz w:val="20"/>
              </w:rPr>
            </w:pPr>
            <w:r>
              <w:rPr>
                <w:sz w:val="20"/>
              </w:rPr>
              <w:t>Accounts receivable</w:t>
            </w:r>
          </w:p>
        </w:tc>
        <w:tc>
          <w:tcPr>
            <w:tcW w:w="1333" w:type="dxa"/>
            <w:tcBorders/>
            <w:shd w:fill="FFFFFF" w:val="clear"/>
            <w:vAlign w:val="center"/>
          </w:tcPr>
          <w:p>
            <w:pPr>
              <w:pStyle w:val="TableContents"/>
              <w:bidi w:val="0"/>
              <w:spacing w:before="0" w:after="283"/>
              <w:jc w:val="right"/>
              <w:rPr>
                <w:sz w:val="20"/>
              </w:rPr>
            </w:pPr>
            <w:r>
              <w:rPr>
                <w:sz w:val="20"/>
              </w:rPr>
              <w:t>2,783</w:t>
            </w:r>
          </w:p>
        </w:tc>
        <w:tc>
          <w:tcPr>
            <w:tcW w:w="1333" w:type="dxa"/>
            <w:tcBorders/>
            <w:shd w:fill="FFFFFF" w:val="clear"/>
            <w:vAlign w:val="center"/>
          </w:tcPr>
          <w:p>
            <w:pPr>
              <w:pStyle w:val="TableContents"/>
              <w:bidi w:val="0"/>
              <w:spacing w:before="0" w:after="283"/>
              <w:jc w:val="right"/>
              <w:rPr>
                <w:sz w:val="20"/>
              </w:rPr>
            </w:pPr>
            <w:r>
              <w:rPr>
                <w:sz w:val="20"/>
              </w:rPr>
              <w:t>392</w:t>
            </w:r>
          </w:p>
        </w:tc>
        <w:tc>
          <w:tcPr>
            <w:tcW w:w="1423" w:type="dxa"/>
            <w:tcBorders/>
            <w:shd w:fill="FFFFFF" w:val="clear"/>
            <w:vAlign w:val="center"/>
          </w:tcPr>
          <w:p>
            <w:pPr>
              <w:pStyle w:val="TableContents"/>
              <w:bidi w:val="0"/>
              <w:spacing w:before="0" w:after="283"/>
              <w:jc w:val="right"/>
              <w:rPr>
                <w:sz w:val="20"/>
              </w:rPr>
            </w:pPr>
            <w:r>
              <w:rPr>
                <w:sz w:val="20"/>
              </w:rPr>
              <w:t>3,539</w:t>
            </w:r>
          </w:p>
        </w:tc>
        <w:tc>
          <w:tcPr>
            <w:tcW w:w="1133" w:type="dxa"/>
            <w:tcBorders/>
            <w:shd w:fill="FFFFFF" w:val="clear"/>
            <w:vAlign w:val="center"/>
          </w:tcPr>
          <w:p>
            <w:pPr>
              <w:pStyle w:val="TableContents"/>
              <w:bidi w:val="0"/>
              <w:spacing w:before="0" w:after="283"/>
              <w:jc w:val="right"/>
              <w:rPr>
                <w:sz w:val="20"/>
              </w:rPr>
            </w:pPr>
            <w:r>
              <w:rPr>
                <w:sz w:val="20"/>
              </w:rPr>
              <w:t>64</w:t>
            </w:r>
          </w:p>
        </w:tc>
      </w:tr>
      <w:tr>
        <w:trPr/>
        <w:tc>
          <w:tcPr>
            <w:tcW w:w="4983" w:type="dxa"/>
            <w:tcBorders/>
            <w:shd w:fill="D5EAEA" w:val="clear"/>
            <w:vAlign w:val="center"/>
          </w:tcPr>
          <w:p>
            <w:pPr>
              <w:pStyle w:val="TableContents"/>
              <w:bidi w:val="0"/>
              <w:spacing w:before="0" w:after="283"/>
              <w:jc w:val="left"/>
              <w:rPr>
                <w:sz w:val="20"/>
              </w:rPr>
            </w:pPr>
            <w:r>
              <w:rPr>
                <w:sz w:val="20"/>
              </w:rPr>
              <w:t>Recoverable taxes</w:t>
            </w:r>
          </w:p>
        </w:tc>
        <w:tc>
          <w:tcPr>
            <w:tcW w:w="1333" w:type="dxa"/>
            <w:tcBorders/>
            <w:shd w:fill="D5EAEA" w:val="clear"/>
            <w:vAlign w:val="center"/>
          </w:tcPr>
          <w:p>
            <w:pPr>
              <w:pStyle w:val="TableContents"/>
              <w:bidi w:val="0"/>
              <w:spacing w:before="0" w:after="283"/>
              <w:jc w:val="right"/>
              <w:rPr>
                <w:sz w:val="20"/>
              </w:rPr>
            </w:pPr>
            <w:r>
              <w:rPr>
                <w:sz w:val="20"/>
              </w:rPr>
              <w:t>22</w:t>
            </w:r>
          </w:p>
        </w:tc>
        <w:tc>
          <w:tcPr>
            <w:tcW w:w="1333" w:type="dxa"/>
            <w:tcBorders/>
            <w:shd w:fill="D5EAEA" w:val="clear"/>
            <w:vAlign w:val="center"/>
          </w:tcPr>
          <w:p>
            <w:pPr>
              <w:pStyle w:val="TableContents"/>
              <w:bidi w:val="0"/>
              <w:spacing w:before="0" w:after="283"/>
              <w:jc w:val="right"/>
              <w:rPr>
                <w:sz w:val="20"/>
              </w:rPr>
            </w:pPr>
            <w:r>
              <w:rPr>
                <w:sz w:val="20"/>
              </w:rPr>
              <w:t>-</w:t>
            </w:r>
          </w:p>
        </w:tc>
        <w:tc>
          <w:tcPr>
            <w:tcW w:w="1423" w:type="dxa"/>
            <w:tcBorders/>
            <w:shd w:fill="D5EAEA" w:val="clear"/>
            <w:vAlign w:val="center"/>
          </w:tcPr>
          <w:p>
            <w:pPr>
              <w:pStyle w:val="TableContents"/>
              <w:bidi w:val="0"/>
              <w:spacing w:before="0" w:after="283"/>
              <w:jc w:val="right"/>
              <w:rPr>
                <w:sz w:val="20"/>
              </w:rPr>
            </w:pPr>
            <w:r>
              <w:rPr>
                <w:sz w:val="20"/>
              </w:rPr>
              <w:t>2</w:t>
            </w:r>
          </w:p>
        </w:tc>
        <w:tc>
          <w:tcPr>
            <w:tcW w:w="1133" w:type="dxa"/>
            <w:tcBorders/>
            <w:shd w:fill="D5EAEA" w:val="clear"/>
            <w:vAlign w:val="center"/>
          </w:tcPr>
          <w:p>
            <w:pPr>
              <w:pStyle w:val="TableContents"/>
              <w:bidi w:val="0"/>
              <w:spacing w:before="0" w:after="283"/>
              <w:jc w:val="right"/>
              <w:rPr>
                <w:sz w:val="20"/>
              </w:rPr>
            </w:pPr>
            <w:r>
              <w:rPr>
                <w:sz w:val="20"/>
              </w:rPr>
              <w:t>87</w:t>
            </w:r>
          </w:p>
        </w:tc>
      </w:tr>
      <w:tr>
        <w:trPr/>
        <w:tc>
          <w:tcPr>
            <w:tcW w:w="4983" w:type="dxa"/>
            <w:tcBorders/>
            <w:shd w:fill="FFFFFF" w:val="clear"/>
            <w:vAlign w:val="center"/>
          </w:tcPr>
          <w:p>
            <w:pPr>
              <w:pStyle w:val="TableContents"/>
              <w:bidi w:val="0"/>
              <w:spacing w:before="0" w:after="283"/>
              <w:jc w:val="left"/>
              <w:rPr>
                <w:sz w:val="20"/>
              </w:rPr>
            </w:pPr>
            <w:r>
              <w:rPr>
                <w:sz w:val="20"/>
              </w:rPr>
              <w:t>Short term investments</w:t>
            </w:r>
          </w:p>
        </w:tc>
        <w:tc>
          <w:tcPr>
            <w:tcW w:w="1333" w:type="dxa"/>
            <w:tcBorders/>
            <w:shd w:fill="FFFFFF" w:val="clear"/>
            <w:vAlign w:val="center"/>
          </w:tcPr>
          <w:p>
            <w:pPr>
              <w:pStyle w:val="TableContents"/>
              <w:bidi w:val="0"/>
              <w:spacing w:before="0" w:after="283"/>
              <w:jc w:val="right"/>
              <w:rPr>
                <w:sz w:val="20"/>
              </w:rPr>
            </w:pPr>
            <w:r>
              <w:rPr>
                <w:sz w:val="20"/>
              </w:rPr>
              <w:t>-</w:t>
            </w:r>
          </w:p>
        </w:tc>
        <w:tc>
          <w:tcPr>
            <w:tcW w:w="1333" w:type="dxa"/>
            <w:tcBorders/>
            <w:shd w:fill="FFFFFF" w:val="clear"/>
            <w:vAlign w:val="center"/>
          </w:tcPr>
          <w:p>
            <w:pPr>
              <w:pStyle w:val="TableContents"/>
              <w:bidi w:val="0"/>
              <w:spacing w:before="0" w:after="283"/>
              <w:jc w:val="right"/>
              <w:rPr>
                <w:sz w:val="20"/>
              </w:rPr>
            </w:pPr>
            <w:r>
              <w:rPr>
                <w:sz w:val="20"/>
              </w:rPr>
              <w:t>-</w:t>
            </w:r>
          </w:p>
        </w:tc>
        <w:tc>
          <w:tcPr>
            <w:tcW w:w="1423" w:type="dxa"/>
            <w:tcBorders/>
            <w:shd w:fill="FFFFFF" w:val="clear"/>
            <w:vAlign w:val="center"/>
          </w:tcPr>
          <w:p>
            <w:pPr>
              <w:pStyle w:val="TableContents"/>
              <w:bidi w:val="0"/>
              <w:spacing w:before="0" w:after="283"/>
              <w:jc w:val="right"/>
              <w:rPr>
                <w:sz w:val="20"/>
              </w:rPr>
            </w:pPr>
            <w:r>
              <w:rPr>
                <w:sz w:val="20"/>
              </w:rPr>
              <w:t>-</w:t>
            </w:r>
          </w:p>
        </w:tc>
        <w:tc>
          <w:tcPr>
            <w:tcW w:w="1133" w:type="dxa"/>
            <w:tcBorders/>
            <w:shd w:fill="FFFFFF" w:val="clear"/>
            <w:vAlign w:val="center"/>
          </w:tcPr>
          <w:p>
            <w:pPr>
              <w:pStyle w:val="TableContents"/>
              <w:bidi w:val="0"/>
              <w:spacing w:before="0" w:after="283"/>
              <w:jc w:val="right"/>
              <w:rPr>
                <w:sz w:val="20"/>
              </w:rPr>
            </w:pPr>
            <w:r>
              <w:rPr>
                <w:sz w:val="20"/>
              </w:rPr>
              <w:t>-</w:t>
            </w:r>
          </w:p>
        </w:tc>
      </w:tr>
      <w:tr>
        <w:trPr/>
        <w:tc>
          <w:tcPr>
            <w:tcW w:w="4983" w:type="dxa"/>
            <w:tcBorders/>
            <w:shd w:fill="D5EAEA" w:val="clear"/>
            <w:vAlign w:val="center"/>
          </w:tcPr>
          <w:p>
            <w:pPr>
              <w:pStyle w:val="TableContents"/>
              <w:bidi w:val="0"/>
              <w:spacing w:before="0" w:after="283"/>
              <w:jc w:val="left"/>
              <w:rPr>
                <w:sz w:val="20"/>
              </w:rPr>
            </w:pPr>
            <w:r>
              <w:rPr>
                <w:sz w:val="20"/>
              </w:rPr>
              <w:t>Property and equipment</w:t>
            </w:r>
          </w:p>
        </w:tc>
        <w:tc>
          <w:tcPr>
            <w:tcW w:w="1333" w:type="dxa"/>
            <w:tcBorders/>
            <w:shd w:fill="D5EAEA" w:val="clear"/>
            <w:vAlign w:val="center"/>
          </w:tcPr>
          <w:p>
            <w:pPr>
              <w:pStyle w:val="TableContents"/>
              <w:bidi w:val="0"/>
              <w:spacing w:before="0" w:after="283"/>
              <w:jc w:val="right"/>
              <w:rPr>
                <w:sz w:val="20"/>
              </w:rPr>
            </w:pPr>
            <w:r>
              <w:rPr>
                <w:sz w:val="20"/>
              </w:rPr>
              <w:t>460</w:t>
            </w:r>
          </w:p>
        </w:tc>
        <w:tc>
          <w:tcPr>
            <w:tcW w:w="1333" w:type="dxa"/>
            <w:tcBorders/>
            <w:shd w:fill="D5EAEA" w:val="clear"/>
            <w:vAlign w:val="center"/>
          </w:tcPr>
          <w:p>
            <w:pPr>
              <w:pStyle w:val="TableContents"/>
              <w:bidi w:val="0"/>
              <w:spacing w:before="0" w:after="283"/>
              <w:jc w:val="right"/>
              <w:rPr>
                <w:sz w:val="20"/>
              </w:rPr>
            </w:pPr>
            <w:r>
              <w:rPr>
                <w:sz w:val="20"/>
              </w:rPr>
              <w:t>8</w:t>
            </w:r>
          </w:p>
        </w:tc>
        <w:tc>
          <w:tcPr>
            <w:tcW w:w="1423" w:type="dxa"/>
            <w:tcBorders/>
            <w:shd w:fill="D5EAEA" w:val="clear"/>
            <w:vAlign w:val="center"/>
          </w:tcPr>
          <w:p>
            <w:pPr>
              <w:pStyle w:val="TableContents"/>
              <w:bidi w:val="0"/>
              <w:spacing w:before="0" w:after="283"/>
              <w:jc w:val="right"/>
              <w:rPr>
                <w:sz w:val="20"/>
              </w:rPr>
            </w:pPr>
            <w:r>
              <w:rPr>
                <w:sz w:val="20"/>
              </w:rPr>
              <w:t>-</w:t>
            </w:r>
          </w:p>
        </w:tc>
        <w:tc>
          <w:tcPr>
            <w:tcW w:w="1133" w:type="dxa"/>
            <w:tcBorders/>
            <w:shd w:fill="D5EAEA" w:val="clear"/>
            <w:vAlign w:val="center"/>
          </w:tcPr>
          <w:p>
            <w:pPr>
              <w:pStyle w:val="TableContents"/>
              <w:bidi w:val="0"/>
              <w:spacing w:before="0" w:after="283"/>
              <w:jc w:val="right"/>
              <w:rPr>
                <w:sz w:val="20"/>
              </w:rPr>
            </w:pPr>
            <w:r>
              <w:rPr>
                <w:sz w:val="20"/>
              </w:rPr>
              <w:t>3,190</w:t>
            </w:r>
          </w:p>
        </w:tc>
      </w:tr>
      <w:tr>
        <w:trPr/>
        <w:tc>
          <w:tcPr>
            <w:tcW w:w="4983" w:type="dxa"/>
            <w:tcBorders/>
            <w:shd w:fill="FFFFFF" w:val="clear"/>
            <w:vAlign w:val="center"/>
          </w:tcPr>
          <w:p>
            <w:pPr>
              <w:pStyle w:val="TableContents"/>
              <w:bidi w:val="0"/>
              <w:spacing w:before="0" w:after="283"/>
              <w:jc w:val="left"/>
              <w:rPr>
                <w:sz w:val="20"/>
              </w:rPr>
            </w:pPr>
            <w:r>
              <w:rPr>
                <w:sz w:val="20"/>
              </w:rPr>
              <w:t>Other assets</w:t>
            </w:r>
          </w:p>
        </w:tc>
        <w:tc>
          <w:tcPr>
            <w:tcW w:w="1333" w:type="dxa"/>
            <w:tcBorders/>
            <w:shd w:fill="FFFFFF" w:val="clear"/>
            <w:vAlign w:val="center"/>
          </w:tcPr>
          <w:p>
            <w:pPr>
              <w:pStyle w:val="TableContents"/>
              <w:bidi w:val="0"/>
              <w:spacing w:before="0" w:after="283"/>
              <w:jc w:val="right"/>
              <w:rPr>
                <w:sz w:val="20"/>
              </w:rPr>
            </w:pPr>
            <w:r>
              <w:rPr>
                <w:sz w:val="20"/>
              </w:rPr>
              <w:t>19</w:t>
            </w:r>
          </w:p>
        </w:tc>
        <w:tc>
          <w:tcPr>
            <w:tcW w:w="1333" w:type="dxa"/>
            <w:tcBorders/>
            <w:shd w:fill="FFFFFF" w:val="clear"/>
            <w:vAlign w:val="center"/>
          </w:tcPr>
          <w:p>
            <w:pPr>
              <w:pStyle w:val="TableContents"/>
              <w:bidi w:val="0"/>
              <w:spacing w:before="0" w:after="283"/>
              <w:jc w:val="right"/>
              <w:rPr>
                <w:sz w:val="20"/>
              </w:rPr>
            </w:pPr>
            <w:r>
              <w:rPr>
                <w:sz w:val="20"/>
              </w:rPr>
              <w:t>-</w:t>
            </w:r>
          </w:p>
        </w:tc>
        <w:tc>
          <w:tcPr>
            <w:tcW w:w="1423" w:type="dxa"/>
            <w:tcBorders/>
            <w:shd w:fill="FFFFFF" w:val="clear"/>
            <w:vAlign w:val="center"/>
          </w:tcPr>
          <w:p>
            <w:pPr>
              <w:pStyle w:val="TableContents"/>
              <w:bidi w:val="0"/>
              <w:spacing w:before="0" w:after="283"/>
              <w:jc w:val="right"/>
              <w:rPr>
                <w:sz w:val="20"/>
              </w:rPr>
            </w:pPr>
            <w:r>
              <w:rPr>
                <w:sz w:val="20"/>
              </w:rPr>
              <w:t>-</w:t>
            </w:r>
          </w:p>
        </w:tc>
        <w:tc>
          <w:tcPr>
            <w:tcW w:w="1133" w:type="dxa"/>
            <w:tcBorders/>
            <w:shd w:fill="FFFFFF" w:val="clear"/>
            <w:vAlign w:val="center"/>
          </w:tcPr>
          <w:p>
            <w:pPr>
              <w:pStyle w:val="TableContents"/>
              <w:bidi w:val="0"/>
              <w:spacing w:before="0" w:after="283"/>
              <w:jc w:val="right"/>
              <w:rPr>
                <w:sz w:val="20"/>
              </w:rPr>
            </w:pPr>
            <w:r>
              <w:rPr>
                <w:sz w:val="20"/>
              </w:rPr>
              <w:t>167</w:t>
            </w:r>
          </w:p>
        </w:tc>
      </w:tr>
      <w:tr>
        <w:trPr/>
        <w:tc>
          <w:tcPr>
            <w:tcW w:w="4983" w:type="dxa"/>
            <w:tcBorders/>
            <w:shd w:fill="D5EAEA" w:val="clear"/>
            <w:vAlign w:val="center"/>
          </w:tcPr>
          <w:p>
            <w:pPr>
              <w:pStyle w:val="TableContents"/>
              <w:bidi w:val="0"/>
              <w:spacing w:before="0" w:after="283"/>
              <w:jc w:val="left"/>
              <w:rPr>
                <w:sz w:val="20"/>
              </w:rPr>
            </w:pPr>
            <w:r>
              <w:rPr>
                <w:sz w:val="20"/>
              </w:rPr>
              <w:t>Other liabilities</w:t>
            </w:r>
          </w:p>
        </w:tc>
        <w:tc>
          <w:tcPr>
            <w:tcW w:w="1333" w:type="dxa"/>
            <w:tcBorders/>
            <w:shd w:fill="D5EAEA" w:val="clear"/>
            <w:vAlign w:val="center"/>
          </w:tcPr>
          <w:p>
            <w:pPr>
              <w:pStyle w:val="TableContents"/>
              <w:bidi w:val="0"/>
              <w:spacing w:before="0" w:after="283"/>
              <w:jc w:val="right"/>
              <w:rPr>
                <w:sz w:val="20"/>
              </w:rPr>
            </w:pPr>
            <w:r>
              <w:rPr>
                <w:sz w:val="20"/>
              </w:rPr>
              <w:t>(507)</w:t>
            </w:r>
          </w:p>
        </w:tc>
        <w:tc>
          <w:tcPr>
            <w:tcW w:w="1333" w:type="dxa"/>
            <w:tcBorders/>
            <w:shd w:fill="D5EAEA" w:val="clear"/>
            <w:vAlign w:val="center"/>
          </w:tcPr>
          <w:p>
            <w:pPr>
              <w:pStyle w:val="TableContents"/>
              <w:bidi w:val="0"/>
              <w:spacing w:before="0" w:after="283"/>
              <w:jc w:val="right"/>
              <w:rPr>
                <w:sz w:val="20"/>
              </w:rPr>
            </w:pPr>
            <w:r>
              <w:rPr>
                <w:sz w:val="20"/>
              </w:rPr>
              <w:t>(15)</w:t>
            </w:r>
          </w:p>
        </w:tc>
        <w:tc>
          <w:tcPr>
            <w:tcW w:w="1423" w:type="dxa"/>
            <w:tcBorders/>
            <w:shd w:fill="D5EAEA" w:val="clear"/>
            <w:vAlign w:val="center"/>
          </w:tcPr>
          <w:p>
            <w:pPr>
              <w:pStyle w:val="TableContents"/>
              <w:bidi w:val="0"/>
              <w:spacing w:before="0" w:after="283"/>
              <w:jc w:val="right"/>
              <w:rPr>
                <w:sz w:val="20"/>
              </w:rPr>
            </w:pPr>
            <w:r>
              <w:rPr>
                <w:sz w:val="20"/>
              </w:rPr>
              <w:t>(7)</w:t>
            </w:r>
          </w:p>
        </w:tc>
        <w:tc>
          <w:tcPr>
            <w:tcW w:w="1133" w:type="dxa"/>
            <w:tcBorders/>
            <w:shd w:fill="D5EAEA" w:val="clear"/>
            <w:vAlign w:val="center"/>
          </w:tcPr>
          <w:p>
            <w:pPr>
              <w:pStyle w:val="TableContents"/>
              <w:bidi w:val="0"/>
              <w:spacing w:before="0" w:after="283"/>
              <w:jc w:val="right"/>
              <w:rPr>
                <w:sz w:val="20"/>
              </w:rPr>
            </w:pPr>
            <w:r>
              <w:rPr>
                <w:sz w:val="20"/>
              </w:rPr>
              <w:t>(4,350)</w:t>
            </w:r>
          </w:p>
        </w:tc>
      </w:tr>
      <w:tr>
        <w:trPr/>
        <w:tc>
          <w:tcPr>
            <w:tcW w:w="4983" w:type="dxa"/>
            <w:tcBorders/>
            <w:shd w:fill="FFFFFF" w:val="clear"/>
            <w:vAlign w:val="center"/>
          </w:tcPr>
          <w:p>
            <w:pPr>
              <w:pStyle w:val="TableContents"/>
              <w:bidi w:val="0"/>
              <w:spacing w:before="0" w:after="283"/>
              <w:jc w:val="left"/>
              <w:rPr>
                <w:sz w:val="20"/>
              </w:rPr>
            </w:pPr>
            <w:r>
              <w:rPr>
                <w:sz w:val="20"/>
              </w:rPr>
              <w:t>Personnel and related contributions payable</w:t>
            </w:r>
          </w:p>
        </w:tc>
        <w:tc>
          <w:tcPr>
            <w:tcW w:w="1333" w:type="dxa"/>
            <w:tcBorders/>
            <w:shd w:fill="FFFFFF" w:val="clear"/>
            <w:vAlign w:val="center"/>
          </w:tcPr>
          <w:p>
            <w:pPr>
              <w:pStyle w:val="TableContents"/>
              <w:bidi w:val="0"/>
              <w:spacing w:before="0" w:after="283"/>
              <w:jc w:val="right"/>
              <w:rPr>
                <w:sz w:val="20"/>
              </w:rPr>
            </w:pPr>
            <w:r>
              <w:rPr>
                <w:sz w:val="20"/>
              </w:rPr>
              <w:t>-</w:t>
            </w:r>
          </w:p>
        </w:tc>
        <w:tc>
          <w:tcPr>
            <w:tcW w:w="1333" w:type="dxa"/>
            <w:tcBorders/>
            <w:shd w:fill="FFFFFF" w:val="clear"/>
            <w:vAlign w:val="center"/>
          </w:tcPr>
          <w:p>
            <w:pPr>
              <w:pStyle w:val="TableContents"/>
              <w:bidi w:val="0"/>
              <w:spacing w:before="0" w:after="283"/>
              <w:jc w:val="right"/>
              <w:rPr>
                <w:sz w:val="20"/>
              </w:rPr>
            </w:pPr>
            <w:r>
              <w:rPr>
                <w:sz w:val="20"/>
              </w:rPr>
              <w:t>-</w:t>
            </w:r>
          </w:p>
        </w:tc>
        <w:tc>
          <w:tcPr>
            <w:tcW w:w="1423" w:type="dxa"/>
            <w:tcBorders/>
            <w:shd w:fill="FFFFFF" w:val="clear"/>
            <w:vAlign w:val="center"/>
          </w:tcPr>
          <w:p>
            <w:pPr>
              <w:pStyle w:val="TableContents"/>
              <w:bidi w:val="0"/>
              <w:spacing w:before="0" w:after="283"/>
              <w:jc w:val="right"/>
              <w:rPr>
                <w:sz w:val="20"/>
              </w:rPr>
            </w:pPr>
            <w:r>
              <w:rPr>
                <w:sz w:val="20"/>
              </w:rPr>
              <w:t>(1,939)</w:t>
            </w:r>
          </w:p>
        </w:tc>
        <w:tc>
          <w:tcPr>
            <w:tcW w:w="1133" w:type="dxa"/>
            <w:tcBorders/>
            <w:shd w:fill="FFFFFF" w:val="clear"/>
            <w:vAlign w:val="center"/>
          </w:tcPr>
          <w:p>
            <w:pPr>
              <w:pStyle w:val="TableContents"/>
              <w:bidi w:val="0"/>
              <w:spacing w:before="0" w:after="283"/>
              <w:jc w:val="right"/>
              <w:rPr>
                <w:sz w:val="20"/>
              </w:rPr>
            </w:pPr>
            <w:r>
              <w:rPr>
                <w:sz w:val="20"/>
              </w:rPr>
              <w:t>(355)</w:t>
            </w:r>
          </w:p>
        </w:tc>
      </w:tr>
      <w:tr>
        <w:trPr/>
        <w:tc>
          <w:tcPr>
            <w:tcW w:w="4983" w:type="dxa"/>
            <w:tcBorders/>
            <w:shd w:fill="D5EAEA" w:val="clear"/>
            <w:vAlign w:val="center"/>
          </w:tcPr>
          <w:p>
            <w:pPr>
              <w:pStyle w:val="TableContents"/>
              <w:bidi w:val="0"/>
              <w:spacing w:before="0" w:after="283"/>
              <w:jc w:val="left"/>
              <w:rPr>
                <w:sz w:val="20"/>
              </w:rPr>
            </w:pPr>
            <w:r>
              <w:rPr>
                <w:sz w:val="20"/>
              </w:rPr>
              <w:t>Tax payable</w:t>
            </w:r>
          </w:p>
        </w:tc>
        <w:tc>
          <w:tcPr>
            <w:tcW w:w="1333" w:type="dxa"/>
            <w:tcBorders/>
            <w:shd w:fill="D5EAEA" w:val="clear"/>
            <w:vAlign w:val="center"/>
          </w:tcPr>
          <w:p>
            <w:pPr>
              <w:pStyle w:val="TableContents"/>
              <w:bidi w:val="0"/>
              <w:spacing w:before="0" w:after="283"/>
              <w:jc w:val="right"/>
              <w:rPr>
                <w:sz w:val="20"/>
              </w:rPr>
            </w:pPr>
            <w:r>
              <w:rPr>
                <w:sz w:val="20"/>
              </w:rPr>
              <w:t>(4,373)</w:t>
            </w:r>
          </w:p>
        </w:tc>
        <w:tc>
          <w:tcPr>
            <w:tcW w:w="1333" w:type="dxa"/>
            <w:tcBorders/>
            <w:shd w:fill="D5EAEA" w:val="clear"/>
            <w:vAlign w:val="center"/>
          </w:tcPr>
          <w:p>
            <w:pPr>
              <w:pStyle w:val="TableContents"/>
              <w:bidi w:val="0"/>
              <w:spacing w:before="0" w:after="283"/>
              <w:jc w:val="right"/>
              <w:rPr>
                <w:sz w:val="20"/>
              </w:rPr>
            </w:pPr>
            <w:r>
              <w:rPr>
                <w:sz w:val="20"/>
              </w:rPr>
              <w:t>(1,214)</w:t>
            </w:r>
          </w:p>
        </w:tc>
        <w:tc>
          <w:tcPr>
            <w:tcW w:w="1423" w:type="dxa"/>
            <w:tcBorders/>
            <w:shd w:fill="D5EAEA" w:val="clear"/>
            <w:vAlign w:val="center"/>
          </w:tcPr>
          <w:p>
            <w:pPr>
              <w:pStyle w:val="TableContents"/>
              <w:bidi w:val="0"/>
              <w:spacing w:before="0" w:after="283"/>
              <w:jc w:val="right"/>
              <w:rPr>
                <w:sz w:val="20"/>
              </w:rPr>
            </w:pPr>
            <w:r>
              <w:rPr>
                <w:sz w:val="20"/>
              </w:rPr>
              <w:t>(55)</w:t>
            </w:r>
          </w:p>
        </w:tc>
        <w:tc>
          <w:tcPr>
            <w:tcW w:w="1133" w:type="dxa"/>
            <w:tcBorders/>
            <w:shd w:fill="D5EAEA" w:val="clear"/>
            <w:vAlign w:val="center"/>
          </w:tcPr>
          <w:p>
            <w:pPr>
              <w:pStyle w:val="TableContents"/>
              <w:bidi w:val="0"/>
              <w:spacing w:before="0" w:after="283"/>
              <w:jc w:val="right"/>
              <w:rPr>
                <w:sz w:val="20"/>
              </w:rPr>
            </w:pPr>
            <w:r>
              <w:rPr>
                <w:sz w:val="20"/>
              </w:rPr>
              <w:t>-</w:t>
            </w:r>
          </w:p>
        </w:tc>
      </w:tr>
      <w:tr>
        <w:trPr/>
        <w:tc>
          <w:tcPr>
            <w:tcW w:w="4983" w:type="dxa"/>
            <w:tcBorders/>
            <w:shd w:fill="FFFFFF" w:val="clear"/>
            <w:vAlign w:val="center"/>
          </w:tcPr>
          <w:p>
            <w:pPr>
              <w:pStyle w:val="TableContents"/>
              <w:bidi w:val="0"/>
              <w:spacing w:before="0" w:after="283"/>
              <w:jc w:val="left"/>
              <w:rPr>
                <w:sz w:val="20"/>
              </w:rPr>
            </w:pPr>
            <w:r>
              <w:rPr>
                <w:sz w:val="20"/>
              </w:rPr>
              <w:t>Deferred tax assets / (liabilities)</w:t>
            </w:r>
          </w:p>
        </w:tc>
        <w:tc>
          <w:tcPr>
            <w:tcW w:w="1333" w:type="dxa"/>
            <w:tcBorders/>
            <w:shd w:fill="FFFFFF" w:val="clear"/>
            <w:vAlign w:val="center"/>
          </w:tcPr>
          <w:p>
            <w:pPr>
              <w:pStyle w:val="TableContents"/>
              <w:bidi w:val="0"/>
              <w:spacing w:before="0" w:after="283"/>
              <w:jc w:val="right"/>
              <w:rPr>
                <w:sz w:val="20"/>
              </w:rPr>
            </w:pPr>
            <w:r>
              <w:rPr>
                <w:sz w:val="20"/>
              </w:rPr>
              <w:t>(6,951)</w:t>
            </w:r>
          </w:p>
        </w:tc>
        <w:tc>
          <w:tcPr>
            <w:tcW w:w="1333" w:type="dxa"/>
            <w:tcBorders/>
            <w:shd w:fill="FFFFFF" w:val="clear"/>
            <w:vAlign w:val="center"/>
          </w:tcPr>
          <w:p>
            <w:pPr>
              <w:pStyle w:val="TableContents"/>
              <w:bidi w:val="0"/>
              <w:spacing w:before="0" w:after="283"/>
              <w:jc w:val="right"/>
              <w:rPr>
                <w:sz w:val="20"/>
              </w:rPr>
            </w:pPr>
            <w:r>
              <w:rPr>
                <w:sz w:val="20"/>
              </w:rPr>
              <w:t>(2,376)</w:t>
            </w:r>
          </w:p>
        </w:tc>
        <w:tc>
          <w:tcPr>
            <w:tcW w:w="1423" w:type="dxa"/>
            <w:tcBorders/>
            <w:shd w:fill="FFFFFF" w:val="clear"/>
            <w:vAlign w:val="center"/>
          </w:tcPr>
          <w:p>
            <w:pPr>
              <w:pStyle w:val="TableContents"/>
              <w:bidi w:val="0"/>
              <w:spacing w:before="0" w:after="283"/>
              <w:jc w:val="right"/>
              <w:rPr>
                <w:sz w:val="20"/>
              </w:rPr>
            </w:pPr>
            <w:r>
              <w:rPr>
                <w:sz w:val="20"/>
              </w:rPr>
              <w:t>-</w:t>
            </w:r>
          </w:p>
        </w:tc>
        <w:tc>
          <w:tcPr>
            <w:tcW w:w="1133" w:type="dxa"/>
            <w:tcBorders/>
            <w:shd w:fill="FFFFFF" w:val="clear"/>
            <w:vAlign w:val="center"/>
          </w:tcPr>
          <w:p>
            <w:pPr>
              <w:pStyle w:val="TableContents"/>
              <w:bidi w:val="0"/>
              <w:spacing w:before="0" w:after="283"/>
              <w:jc w:val="right"/>
              <w:rPr>
                <w:sz w:val="20"/>
              </w:rPr>
            </w:pPr>
            <w:r>
              <w:rPr>
                <w:sz w:val="20"/>
              </w:rPr>
              <w:t>(99)</w:t>
            </w:r>
          </w:p>
        </w:tc>
      </w:tr>
      <w:tr>
        <w:trPr/>
        <w:tc>
          <w:tcPr>
            <w:tcW w:w="4983" w:type="dxa"/>
            <w:tcBorders/>
            <w:shd w:fill="D5EAEA" w:val="clear"/>
            <w:vAlign w:val="center"/>
          </w:tcPr>
          <w:p>
            <w:pPr>
              <w:pStyle w:val="TableContents"/>
              <w:bidi w:val="0"/>
              <w:spacing w:before="0" w:after="283"/>
              <w:jc w:val="left"/>
              <w:rPr>
                <w:sz w:val="20"/>
              </w:rPr>
            </w:pPr>
            <w:r>
              <w:rPr>
                <w:sz w:val="20"/>
              </w:rPr>
              <w:t>Intangible assets - contractual rights</w:t>
            </w:r>
          </w:p>
        </w:tc>
        <w:tc>
          <w:tcPr>
            <w:tcW w:w="1333" w:type="dxa"/>
            <w:tcBorders/>
            <w:shd w:fill="D5EAEA" w:val="clear"/>
            <w:vAlign w:val="center"/>
          </w:tcPr>
          <w:p>
            <w:pPr>
              <w:pStyle w:val="TableContents"/>
              <w:bidi w:val="0"/>
              <w:spacing w:before="0" w:after="283"/>
              <w:jc w:val="right"/>
              <w:rPr>
                <w:sz w:val="20"/>
              </w:rPr>
            </w:pPr>
            <w:r>
              <w:rPr>
                <w:sz w:val="20"/>
              </w:rPr>
              <w:t>57,210</w:t>
            </w:r>
          </w:p>
        </w:tc>
        <w:tc>
          <w:tcPr>
            <w:tcW w:w="1333" w:type="dxa"/>
            <w:tcBorders/>
            <w:shd w:fill="D5EAEA" w:val="clear"/>
            <w:vAlign w:val="center"/>
          </w:tcPr>
          <w:p>
            <w:pPr>
              <w:pStyle w:val="TableContents"/>
              <w:bidi w:val="0"/>
              <w:spacing w:before="0" w:after="283"/>
              <w:jc w:val="right"/>
              <w:rPr>
                <w:sz w:val="20"/>
              </w:rPr>
            </w:pPr>
            <w:r>
              <w:rPr>
                <w:sz w:val="20"/>
              </w:rPr>
              <w:t>19,562</w:t>
            </w:r>
          </w:p>
        </w:tc>
        <w:tc>
          <w:tcPr>
            <w:tcW w:w="1423" w:type="dxa"/>
            <w:tcBorders/>
            <w:shd w:fill="D5EAEA" w:val="clear"/>
            <w:vAlign w:val="center"/>
          </w:tcPr>
          <w:p>
            <w:pPr>
              <w:pStyle w:val="TableContents"/>
              <w:bidi w:val="0"/>
              <w:spacing w:before="0" w:after="283"/>
              <w:jc w:val="right"/>
              <w:rPr>
                <w:sz w:val="20"/>
              </w:rPr>
            </w:pPr>
            <w:r>
              <w:rPr>
                <w:sz w:val="20"/>
              </w:rPr>
              <w:t>89,320</w:t>
            </w:r>
          </w:p>
        </w:tc>
        <w:tc>
          <w:tcPr>
            <w:tcW w:w="1133" w:type="dxa"/>
            <w:tcBorders/>
            <w:shd w:fill="D5EAEA" w:val="clear"/>
            <w:vAlign w:val="center"/>
          </w:tcPr>
          <w:p>
            <w:pPr>
              <w:pStyle w:val="TableContents"/>
              <w:bidi w:val="0"/>
              <w:spacing w:before="0" w:after="283"/>
              <w:jc w:val="right"/>
              <w:rPr>
                <w:sz w:val="20"/>
              </w:rPr>
            </w:pPr>
            <w:r>
              <w:rPr>
                <w:sz w:val="20"/>
              </w:rPr>
              <w:t>19,071</w:t>
            </w:r>
          </w:p>
        </w:tc>
      </w:tr>
      <w:tr>
        <w:trPr/>
        <w:tc>
          <w:tcPr>
            <w:tcW w:w="4983" w:type="dxa"/>
            <w:tcBorders/>
            <w:shd w:fill="FFFFFF" w:val="clear"/>
            <w:vAlign w:val="center"/>
          </w:tcPr>
          <w:p>
            <w:pPr>
              <w:pStyle w:val="TableContents"/>
              <w:bidi w:val="0"/>
              <w:spacing w:before="0" w:after="283"/>
              <w:jc w:val="left"/>
              <w:rPr>
                <w:sz w:val="20"/>
              </w:rPr>
            </w:pPr>
            <w:r>
              <w:rPr>
                <w:sz w:val="20"/>
              </w:rPr>
              <w:t>Net identifiable assets acquired</w:t>
            </w:r>
          </w:p>
        </w:tc>
        <w:tc>
          <w:tcPr>
            <w:tcW w:w="133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49,569</w:t>
            </w:r>
          </w:p>
        </w:tc>
        <w:tc>
          <w:tcPr>
            <w:tcW w:w="133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16,516</w:t>
            </w:r>
          </w:p>
        </w:tc>
        <w:tc>
          <w:tcPr>
            <w:tcW w:w="142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90,880</w:t>
            </w:r>
          </w:p>
        </w:tc>
        <w:tc>
          <w:tcPr>
            <w:tcW w:w="113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18,983</w:t>
            </w:r>
          </w:p>
        </w:tc>
      </w:tr>
      <w:tr>
        <w:trPr/>
        <w:tc>
          <w:tcPr>
            <w:tcW w:w="4983" w:type="dxa"/>
            <w:tcBorders/>
            <w:shd w:fill="D5EAEA" w:val="clear"/>
            <w:vAlign w:val="center"/>
          </w:tcPr>
          <w:p>
            <w:pPr>
              <w:pStyle w:val="TableContents"/>
              <w:bidi w:val="0"/>
              <w:spacing w:before="0" w:after="283"/>
              <w:jc w:val="left"/>
              <w:rPr/>
            </w:pPr>
            <w:r>
              <w:rPr/>
              <w:t> </w:t>
            </w:r>
          </w:p>
        </w:tc>
        <w:tc>
          <w:tcPr>
            <w:tcW w:w="1333"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1333"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1423"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c>
          <w:tcPr>
            <w:tcW w:w="1133"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p>
        </w:tc>
      </w:tr>
      <w:tr>
        <w:trPr/>
        <w:tc>
          <w:tcPr>
            <w:tcW w:w="4983" w:type="dxa"/>
            <w:tcBorders/>
            <w:shd w:fill="FFFFFF" w:val="clear"/>
            <w:vAlign w:val="center"/>
          </w:tcPr>
          <w:p>
            <w:pPr>
              <w:pStyle w:val="TableContents"/>
              <w:bidi w:val="0"/>
              <w:spacing w:before="0" w:after="283"/>
              <w:jc w:val="left"/>
              <w:rPr>
                <w:sz w:val="20"/>
              </w:rPr>
            </w:pPr>
            <w:r>
              <w:rPr>
                <w:sz w:val="20"/>
              </w:rPr>
              <w:t>Total consideration less net identifiable assets acquired: Goodwill</w:t>
            </w:r>
          </w:p>
        </w:tc>
        <w:tc>
          <w:tcPr>
            <w:tcW w:w="1333"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8,582</w:t>
            </w:r>
          </w:p>
        </w:tc>
        <w:tc>
          <w:tcPr>
            <w:tcW w:w="1333"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2,542</w:t>
            </w:r>
          </w:p>
        </w:tc>
        <w:tc>
          <w:tcPr>
            <w:tcW w:w="1423"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490</w:t>
            </w:r>
          </w:p>
        </w:tc>
        <w:tc>
          <w:tcPr>
            <w:tcW w:w="1133" w:type="dxa"/>
            <w:tcBorders>
              <w:bottom w:val="double" w:sz="4" w:space="0" w:color="000000"/>
            </w:tcBorders>
            <w:shd w:fill="FFFFFF" w:val="clear"/>
            <w:tcMar>
              <w:bottom w:w="28" w:type="dxa"/>
            </w:tcMar>
            <w:vAlign w:val="center"/>
          </w:tcPr>
          <w:p>
            <w:pPr>
              <w:pStyle w:val="TableContents"/>
              <w:bidi w:val="0"/>
              <w:spacing w:before="0" w:after="283"/>
              <w:jc w:val="right"/>
              <w:rPr>
                <w:b/>
                <w:sz w:val="20"/>
              </w:rPr>
            </w:pPr>
            <w:r>
              <w:rPr>
                <w:b/>
                <w:sz w:val="20"/>
              </w:rPr>
              <w:t>31,001</w:t>
            </w:r>
          </w:p>
        </w:tc>
      </w:tr>
    </w:tbl>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receivables acquired were recognized at the acquisition-date fair value, which is equal to the gross contractual amount receivable. Management estimated that no contractual cash flows were expected not to be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identifiable intangible assets recognized primarily represent contractual customer-related rights acquired as part of the Solis, Iter, RBR and WP acquisitions. The fair values of these assets were determined using income-based valuation techniques, including discounted cash flow methodologies for Solis, Iter, WP and RBR. Those methodologies incorporate assumptions regarding expected future cash flows, customer retention, contract renewal patterns and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recognized as part of the acquisitions primarily relate to differences between the assigned fair values of acquired identifiable intangible assets and their respective tax bases.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Purchase consideration – cash outflow for the period ending June 30, 2026, to acquire the subsidiaries, net of cash acquired:</w:t>
            </w:r>
          </w:p>
        </w:tc>
      </w:tr>
    </w:tbl>
    <w:p>
      <w:pPr>
        <w:pStyle w:val="TextBody"/>
        <w:bidi w:val="0"/>
        <w:spacing w:before="0" w:after="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4522"/>
        <w:gridCol w:w="1278"/>
        <w:gridCol w:w="1314"/>
        <w:gridCol w:w="1404"/>
        <w:gridCol w:w="1067"/>
        <w:gridCol w:w="620"/>
      </w:tblGrid>
      <w:tr>
        <w:trPr/>
        <w:tc>
          <w:tcPr>
            <w:tcW w:w="4522" w:type="dxa"/>
            <w:tcBorders/>
            <w:vAlign w:val="center"/>
          </w:tcPr>
          <w:p>
            <w:pPr>
              <w:pStyle w:val="TableContents"/>
              <w:bidi w:val="0"/>
              <w:spacing w:before="0" w:after="283"/>
              <w:jc w:val="left"/>
              <w:rPr/>
            </w:pPr>
            <w:r>
              <w:rPr/>
              <w:t> </w:t>
            </w:r>
          </w:p>
        </w:tc>
        <w:tc>
          <w:tcPr>
            <w:tcW w:w="1278"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Solis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 2026</w:t>
            </w:r>
          </w:p>
        </w:tc>
        <w:tc>
          <w:tcPr>
            <w:tcW w:w="1314"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Iter</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January 2, 2026</w:t>
            </w:r>
            <w:r>
              <w:rPr>
                <w:rFonts w:ascii="Times New Roman;Times;Serif" w:hAnsi="Times New Roman;Times;Serif"/>
                <w:b w:val="false"/>
                <w:i w:val="false"/>
                <w:caps w:val="false"/>
                <w:smallCaps w:val="false"/>
                <w:sz w:val="20"/>
              </w:rPr>
              <w:t> </w:t>
            </w:r>
          </w:p>
        </w:tc>
        <w:tc>
          <w:tcPr>
            <w:tcW w:w="1404"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 RBR</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February 2, 2026</w:t>
            </w:r>
            <w:r>
              <w:rPr>
                <w:rFonts w:ascii="Times New Roman;Times;Serif" w:hAnsi="Times New Roman;Times;Serif"/>
                <w:b w:val="false"/>
                <w:i w:val="false"/>
                <w:caps w:val="false"/>
                <w:smallCaps w:val="false"/>
                <w:sz w:val="20"/>
              </w:rPr>
              <w:t> </w:t>
            </w:r>
          </w:p>
        </w:tc>
        <w:tc>
          <w:tcPr>
            <w:tcW w:w="1067"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 WP</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April 1, 2026</w:t>
            </w:r>
            <w:r>
              <w:rPr>
                <w:rFonts w:ascii="Times New Roman;Times;Serif" w:hAnsi="Times New Roman;Times;Serif"/>
                <w:b w:val="false"/>
                <w:i w:val="false"/>
                <w:caps w:val="false"/>
                <w:smallCaps w:val="false"/>
                <w:sz w:val="20"/>
              </w:rPr>
              <w:t> </w:t>
            </w:r>
          </w:p>
        </w:tc>
        <w:tc>
          <w:tcPr>
            <w:tcW w:w="62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Total</w:t>
            </w:r>
          </w:p>
        </w:tc>
      </w:tr>
      <w:tr>
        <w:trPr/>
        <w:tc>
          <w:tcPr>
            <w:tcW w:w="4522" w:type="dxa"/>
            <w:tcBorders/>
            <w:vAlign w:val="center"/>
          </w:tcPr>
          <w:p>
            <w:pPr>
              <w:pStyle w:val="TableContents"/>
              <w:bidi w:val="0"/>
              <w:spacing w:before="0" w:after="283"/>
              <w:jc w:val="left"/>
              <w:rPr>
                <w:b/>
                <w:sz w:val="20"/>
              </w:rPr>
            </w:pPr>
            <w:r>
              <w:rPr>
                <w:b/>
                <w:sz w:val="20"/>
              </w:rPr>
              <w:t>Cash flow reconciliation</w:t>
            </w:r>
          </w:p>
        </w:tc>
        <w:tc>
          <w:tcPr>
            <w:tcW w:w="1278"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20" w:type="dxa"/>
            <w:tcBorders/>
            <w:vAlign w:val="center"/>
          </w:tcPr>
          <w:p>
            <w:pPr>
              <w:pStyle w:val="TableContents"/>
              <w:bidi w:val="0"/>
              <w:spacing w:before="0" w:after="283"/>
              <w:jc w:val="right"/>
              <w:rPr/>
            </w:pPr>
            <w:r>
              <w:rPr/>
              <w:t> </w:t>
            </w:r>
          </w:p>
        </w:tc>
      </w:tr>
      <w:tr>
        <w:trPr/>
        <w:tc>
          <w:tcPr>
            <w:tcW w:w="4522" w:type="dxa"/>
            <w:tcBorders/>
            <w:shd w:fill="D5EAEA" w:val="clear"/>
            <w:vAlign w:val="center"/>
          </w:tcPr>
          <w:p>
            <w:pPr>
              <w:pStyle w:val="TableContents"/>
              <w:bidi w:val="0"/>
              <w:spacing w:before="0" w:after="283"/>
              <w:jc w:val="left"/>
              <w:rPr>
                <w:sz w:val="20"/>
              </w:rPr>
            </w:pPr>
            <w:r>
              <w:rPr>
                <w:sz w:val="20"/>
              </w:rPr>
              <w:t>Cash consideration paid</w:t>
            </w:r>
          </w:p>
        </w:tc>
        <w:tc>
          <w:tcPr>
            <w:tcW w:w="1278" w:type="dxa"/>
            <w:tcBorders/>
            <w:shd w:fill="D5EAEA" w:val="clear"/>
            <w:vAlign w:val="center"/>
          </w:tcPr>
          <w:p>
            <w:pPr>
              <w:pStyle w:val="TableContents"/>
              <w:bidi w:val="0"/>
              <w:spacing w:before="0" w:after="283"/>
              <w:jc w:val="right"/>
              <w:rPr>
                <w:sz w:val="20"/>
              </w:rPr>
            </w:pPr>
            <w:r>
              <w:rPr>
                <w:sz w:val="20"/>
              </w:rPr>
              <w:t>25,672</w:t>
            </w:r>
          </w:p>
        </w:tc>
        <w:tc>
          <w:tcPr>
            <w:tcW w:w="1314" w:type="dxa"/>
            <w:tcBorders/>
            <w:shd w:fill="D5EAEA" w:val="clear"/>
            <w:vAlign w:val="center"/>
          </w:tcPr>
          <w:p>
            <w:pPr>
              <w:pStyle w:val="TableContents"/>
              <w:bidi w:val="0"/>
              <w:spacing w:before="0" w:after="283"/>
              <w:jc w:val="right"/>
              <w:rPr>
                <w:sz w:val="20"/>
              </w:rPr>
            </w:pPr>
            <w:r>
              <w:rPr>
                <w:sz w:val="20"/>
              </w:rPr>
              <w:t>6,739</w:t>
            </w:r>
          </w:p>
        </w:tc>
        <w:tc>
          <w:tcPr>
            <w:tcW w:w="1404" w:type="dxa"/>
            <w:tcBorders/>
            <w:shd w:fill="D5EAEA" w:val="clear"/>
            <w:vAlign w:val="center"/>
          </w:tcPr>
          <w:p>
            <w:pPr>
              <w:pStyle w:val="TableContents"/>
              <w:bidi w:val="0"/>
              <w:spacing w:before="0" w:after="283"/>
              <w:jc w:val="right"/>
              <w:rPr>
                <w:sz w:val="20"/>
              </w:rPr>
            </w:pPr>
            <w:r>
              <w:rPr>
                <w:sz w:val="20"/>
              </w:rPr>
              <w:t>22,775</w:t>
            </w:r>
          </w:p>
        </w:tc>
        <w:tc>
          <w:tcPr>
            <w:tcW w:w="1067" w:type="dxa"/>
            <w:tcBorders/>
            <w:shd w:fill="D5EAEA" w:val="clear"/>
            <w:vAlign w:val="center"/>
          </w:tcPr>
          <w:p>
            <w:pPr>
              <w:pStyle w:val="TableContents"/>
              <w:bidi w:val="0"/>
              <w:spacing w:before="0" w:after="283"/>
              <w:jc w:val="right"/>
              <w:rPr>
                <w:sz w:val="20"/>
              </w:rPr>
            </w:pPr>
            <w:r>
              <w:rPr>
                <w:sz w:val="20"/>
              </w:rPr>
              <w:t>15,394</w:t>
            </w:r>
          </w:p>
        </w:tc>
        <w:tc>
          <w:tcPr>
            <w:tcW w:w="620" w:type="dxa"/>
            <w:tcBorders/>
            <w:shd w:fill="D5EAEA" w:val="clear"/>
            <w:vAlign w:val="center"/>
          </w:tcPr>
          <w:p>
            <w:pPr>
              <w:pStyle w:val="TableContents"/>
              <w:bidi w:val="0"/>
              <w:spacing w:before="0" w:after="283"/>
              <w:jc w:val="right"/>
              <w:rPr>
                <w:b/>
                <w:sz w:val="20"/>
              </w:rPr>
            </w:pPr>
            <w:r>
              <w:rPr>
                <w:b/>
                <w:sz w:val="20"/>
              </w:rPr>
              <w:t>70,580</w:t>
            </w:r>
          </w:p>
        </w:tc>
      </w:tr>
      <w:tr>
        <w:trPr/>
        <w:tc>
          <w:tcPr>
            <w:tcW w:w="4522" w:type="dxa"/>
            <w:tcBorders/>
            <w:shd w:fill="FFFFFF" w:val="clear"/>
            <w:vAlign w:val="center"/>
          </w:tcPr>
          <w:p>
            <w:pPr>
              <w:pStyle w:val="TableContents"/>
              <w:bidi w:val="0"/>
              <w:spacing w:before="0" w:after="283"/>
              <w:jc w:val="left"/>
              <w:rPr>
                <w:sz w:val="20"/>
              </w:rPr>
            </w:pPr>
            <w:r>
              <w:rPr>
                <w:sz w:val="20"/>
              </w:rPr>
              <w:t>Less: Cash acquired</w:t>
            </w:r>
          </w:p>
        </w:tc>
        <w:tc>
          <w:tcPr>
            <w:tcW w:w="127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(906)</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(159)</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(1,208)</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(2,293)</w:t>
            </w:r>
          </w:p>
        </w:tc>
      </w:tr>
      <w:tr>
        <w:trPr/>
        <w:tc>
          <w:tcPr>
            <w:tcW w:w="4522" w:type="dxa"/>
            <w:tcBorders/>
            <w:shd w:fill="D5EAEA" w:val="clear"/>
            <w:vAlign w:val="center"/>
          </w:tcPr>
          <w:p>
            <w:pPr>
              <w:pStyle w:val="TableContents"/>
              <w:bidi w:val="0"/>
              <w:spacing w:before="0" w:after="283"/>
              <w:jc w:val="left"/>
              <w:rPr>
                <w:b/>
                <w:sz w:val="20"/>
              </w:rPr>
            </w:pPr>
            <w:r>
              <w:rPr>
                <w:b/>
                <w:sz w:val="20"/>
              </w:rPr>
              <w:t>Net outflow/(inflow) of cash flow statement- investing activities</w:t>
            </w:r>
          </w:p>
        </w:tc>
        <w:tc>
          <w:tcPr>
            <w:tcW w:w="1278" w:type="dxa"/>
            <w:tcBorders/>
            <w:shd w:fill="D5EAEA" w:val="clear"/>
            <w:vAlign w:val="center"/>
          </w:tcPr>
          <w:p>
            <w:pPr>
              <w:pStyle w:val="TableContents"/>
              <w:bidi w:val="0"/>
              <w:spacing w:before="0" w:after="283"/>
              <w:jc w:val="right"/>
              <w:rPr>
                <w:b/>
                <w:sz w:val="20"/>
              </w:rPr>
            </w:pPr>
            <w:r>
              <w:rPr>
                <w:b/>
                <w:sz w:val="20"/>
              </w:rPr>
              <w:t>24,766</w:t>
            </w:r>
          </w:p>
        </w:tc>
        <w:tc>
          <w:tcPr>
            <w:tcW w:w="1314" w:type="dxa"/>
            <w:tcBorders/>
            <w:shd w:fill="D5EAEA" w:val="clear"/>
            <w:vAlign w:val="center"/>
          </w:tcPr>
          <w:p>
            <w:pPr>
              <w:pStyle w:val="TableContents"/>
              <w:bidi w:val="0"/>
              <w:spacing w:before="0" w:after="283"/>
              <w:jc w:val="right"/>
              <w:rPr>
                <w:b/>
                <w:sz w:val="20"/>
              </w:rPr>
            </w:pPr>
            <w:r>
              <w:rPr>
                <w:b/>
                <w:sz w:val="20"/>
              </w:rPr>
              <w:t>6,580</w:t>
            </w:r>
          </w:p>
        </w:tc>
        <w:tc>
          <w:tcPr>
            <w:tcW w:w="1404" w:type="dxa"/>
            <w:tcBorders/>
            <w:shd w:fill="D5EAEA" w:val="clear"/>
            <w:vAlign w:val="center"/>
          </w:tcPr>
          <w:p>
            <w:pPr>
              <w:pStyle w:val="TableContents"/>
              <w:bidi w:val="0"/>
              <w:spacing w:before="0" w:after="283"/>
              <w:jc w:val="right"/>
              <w:rPr>
                <w:b/>
                <w:sz w:val="20"/>
              </w:rPr>
            </w:pPr>
            <w:r>
              <w:rPr>
                <w:b/>
                <w:sz w:val="20"/>
              </w:rPr>
              <w:t>22,755</w:t>
            </w:r>
          </w:p>
        </w:tc>
        <w:tc>
          <w:tcPr>
            <w:tcW w:w="1067" w:type="dxa"/>
            <w:tcBorders/>
            <w:shd w:fill="D5EAEA" w:val="clear"/>
            <w:vAlign w:val="center"/>
          </w:tcPr>
          <w:p>
            <w:pPr>
              <w:pStyle w:val="TableContents"/>
              <w:bidi w:val="0"/>
              <w:spacing w:before="0" w:after="283"/>
              <w:jc w:val="right"/>
              <w:rPr>
                <w:b/>
                <w:sz w:val="20"/>
              </w:rPr>
            </w:pPr>
            <w:r>
              <w:rPr>
                <w:b/>
                <w:sz w:val="20"/>
              </w:rPr>
              <w:t>14,186</w:t>
            </w:r>
          </w:p>
        </w:tc>
        <w:tc>
          <w:tcPr>
            <w:tcW w:w="620" w:type="dxa"/>
            <w:tcBorders/>
            <w:shd w:fill="D5EAEA" w:val="clear"/>
            <w:vAlign w:val="center"/>
          </w:tcPr>
          <w:p>
            <w:pPr>
              <w:pStyle w:val="TableContents"/>
              <w:bidi w:val="0"/>
              <w:spacing w:before="0" w:after="283"/>
              <w:jc w:val="right"/>
              <w:rPr>
                <w:b/>
                <w:sz w:val="20"/>
              </w:rPr>
            </w:pPr>
            <w:r>
              <w:rPr>
                <w:b/>
                <w:sz w:val="20"/>
              </w:rPr>
              <w:t>68,287</w:t>
            </w:r>
          </w:p>
        </w:tc>
      </w:tr>
    </w:tbl>
    <w:tbl>
      <w:tblPr>
        <w:tblW w:w="9600" w:type="dxa"/>
        <w:jc w:val="center"/>
        <w:tblInd w:w="0" w:type="dxa"/>
        <w:tblLayout w:type="fixed"/>
        <w:tblCellMar>
          <w:top w:w="0" w:type="dxa"/>
          <w:left w:w="0" w:type="dxa"/>
          <w:bottom w:w="0" w:type="dxa"/>
          <w:right w:w="0" w:type="dxa"/>
        </w:tblCellMar>
      </w:tblPr>
      <w:tblGrid>
        <w:gridCol w:w="5840"/>
        <w:gridCol w:w="770"/>
        <w:gridCol w:w="665"/>
        <w:gridCol w:w="770"/>
        <w:gridCol w:w="770"/>
        <w:gridCol w:w="785"/>
      </w:tblGrid>
      <w:tr>
        <w:trPr/>
        <w:tc>
          <w:tcPr>
            <w:tcW w:w="5840" w:type="dxa"/>
            <w:tcBorders/>
            <w:vAlign w:val="center"/>
          </w:tcPr>
          <w:p>
            <w:pPr>
              <w:pStyle w:val="TableContents"/>
              <w:bidi w:val="0"/>
              <w:spacing w:before="0" w:after="283"/>
              <w:jc w:val="left"/>
              <w:rPr>
                <w:b/>
                <w:sz w:val="20"/>
              </w:rPr>
            </w:pPr>
            <w:r>
              <w:rPr>
                <w:b/>
                <w:sz w:val="20"/>
              </w:rPr>
              <w:t>Non-cash reconciliation</w:t>
            </w:r>
          </w:p>
        </w:tc>
        <w:tc>
          <w:tcPr>
            <w:tcW w:w="7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r>
      <w:tr>
        <w:trPr/>
        <w:tc>
          <w:tcPr>
            <w:tcW w:w="5840" w:type="dxa"/>
            <w:tcBorders/>
            <w:shd w:fill="D5EAEA" w:val="clear"/>
            <w:vAlign w:val="center"/>
          </w:tcPr>
          <w:p>
            <w:pPr>
              <w:pStyle w:val="TableContents"/>
              <w:bidi w:val="0"/>
              <w:spacing w:before="0" w:after="283"/>
              <w:jc w:val="left"/>
              <w:rPr>
                <w:sz w:val="20"/>
              </w:rPr>
            </w:pPr>
            <w:r>
              <w:rPr>
                <w:sz w:val="20"/>
              </w:rPr>
              <w:t>Total consideration and non-controlling interest (b)</w:t>
            </w:r>
          </w:p>
        </w:tc>
        <w:tc>
          <w:tcPr>
            <w:tcW w:w="770" w:type="dxa"/>
            <w:tcBorders/>
            <w:shd w:fill="D5EAEA" w:val="clear"/>
            <w:vAlign w:val="center"/>
          </w:tcPr>
          <w:p>
            <w:pPr>
              <w:pStyle w:val="TableContents"/>
              <w:bidi w:val="0"/>
              <w:spacing w:before="0" w:after="283"/>
              <w:jc w:val="right"/>
              <w:rPr/>
            </w:pPr>
            <w:r>
              <w:rPr/>
              <w:t> </w:t>
            </w:r>
            <w:r>
              <w:rPr>
                <w:sz w:val="20"/>
              </w:rPr>
              <w:t>58,151</w:t>
            </w:r>
          </w:p>
        </w:tc>
        <w:tc>
          <w:tcPr>
            <w:tcW w:w="665" w:type="dxa"/>
            <w:tcBorders/>
            <w:shd w:fill="D5EAEA" w:val="clear"/>
            <w:vAlign w:val="center"/>
          </w:tcPr>
          <w:p>
            <w:pPr>
              <w:pStyle w:val="TableContents"/>
              <w:bidi w:val="0"/>
              <w:spacing w:before="0" w:after="283"/>
              <w:jc w:val="right"/>
              <w:rPr/>
            </w:pPr>
            <w:r>
              <w:rPr/>
              <w:t> </w:t>
            </w:r>
            <w:r>
              <w:rPr>
                <w:sz w:val="20"/>
              </w:rPr>
              <w:t>19,058</w:t>
            </w:r>
          </w:p>
        </w:tc>
        <w:tc>
          <w:tcPr>
            <w:tcW w:w="770" w:type="dxa"/>
            <w:tcBorders/>
            <w:shd w:fill="D5EAEA" w:val="clear"/>
            <w:vAlign w:val="center"/>
          </w:tcPr>
          <w:p>
            <w:pPr>
              <w:pStyle w:val="TableContents"/>
              <w:bidi w:val="0"/>
              <w:spacing w:before="0" w:after="283"/>
              <w:jc w:val="right"/>
              <w:rPr/>
            </w:pPr>
            <w:r>
              <w:rPr/>
              <w:t> </w:t>
            </w:r>
            <w:r>
              <w:rPr>
                <w:sz w:val="20"/>
              </w:rPr>
              <w:t>91,370</w:t>
            </w:r>
          </w:p>
        </w:tc>
        <w:tc>
          <w:tcPr>
            <w:tcW w:w="770" w:type="dxa"/>
            <w:tcBorders/>
            <w:shd w:fill="D5EAEA" w:val="clear"/>
            <w:vAlign w:val="center"/>
          </w:tcPr>
          <w:p>
            <w:pPr>
              <w:pStyle w:val="TableContents"/>
              <w:bidi w:val="0"/>
              <w:spacing w:before="0" w:after="283"/>
              <w:jc w:val="right"/>
              <w:rPr/>
            </w:pPr>
            <w:r>
              <w:rPr/>
              <w:t> </w:t>
            </w:r>
            <w:r>
              <w:rPr>
                <w:sz w:val="20"/>
              </w:rPr>
              <w:t>49,984</w:t>
            </w:r>
          </w:p>
        </w:tc>
        <w:tc>
          <w:tcPr>
            <w:tcW w:w="785" w:type="dxa"/>
            <w:tcBorders/>
            <w:shd w:fill="D5EAEA" w:val="clear"/>
            <w:vAlign w:val="center"/>
          </w:tcPr>
          <w:p>
            <w:pPr>
              <w:pStyle w:val="TableContents"/>
              <w:bidi w:val="0"/>
              <w:spacing w:before="0" w:after="283"/>
              <w:jc w:val="right"/>
              <w:rPr/>
            </w:pPr>
            <w:r>
              <w:rPr/>
              <w:t> </w:t>
            </w:r>
            <w:r>
              <w:rPr>
                <w:sz w:val="20"/>
              </w:rPr>
              <w:t>218,563</w:t>
            </w:r>
          </w:p>
        </w:tc>
      </w:tr>
      <w:tr>
        <w:trPr/>
        <w:tc>
          <w:tcPr>
            <w:tcW w:w="5840" w:type="dxa"/>
            <w:tcBorders/>
            <w:shd w:fill="FFFFFF" w:val="clear"/>
            <w:vAlign w:val="center"/>
          </w:tcPr>
          <w:p>
            <w:pPr>
              <w:pStyle w:val="TableContents"/>
              <w:bidi w:val="0"/>
              <w:spacing w:before="0" w:after="283"/>
              <w:jc w:val="left"/>
              <w:rPr>
                <w:sz w:val="20"/>
              </w:rPr>
            </w:pPr>
            <w:r>
              <w:rPr>
                <w:sz w:val="20"/>
              </w:rPr>
              <w:t>Net cash outflow</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(24,766)</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(6,580)</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(22,755)</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(14,186)</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(68,287)</w:t>
            </w:r>
          </w:p>
        </w:tc>
      </w:tr>
      <w:tr>
        <w:trPr/>
        <w:tc>
          <w:tcPr>
            <w:tcW w:w="5840" w:type="dxa"/>
            <w:tcBorders/>
            <w:shd w:fill="D5EAEA" w:val="clear"/>
            <w:vAlign w:val="center"/>
          </w:tcPr>
          <w:p>
            <w:pPr>
              <w:pStyle w:val="TableContents"/>
              <w:bidi w:val="0"/>
              <w:spacing w:before="0" w:after="283"/>
              <w:jc w:val="left"/>
              <w:rPr>
                <w:b/>
                <w:sz w:val="20"/>
              </w:rPr>
            </w:pPr>
            <w:r>
              <w:rPr>
                <w:b/>
                <w:sz w:val="20"/>
              </w:rPr>
              <w:t>Non-cash additions to the Company’s Statement of Financial Position</w:t>
            </w:r>
          </w:p>
        </w:tc>
        <w:tc>
          <w:tcPr>
            <w:tcW w:w="77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b/>
                <w:sz w:val="20"/>
              </w:rPr>
              <w:t>33,385</w:t>
            </w:r>
          </w:p>
        </w:tc>
        <w:tc>
          <w:tcPr>
            <w:tcW w:w="665"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b/>
                <w:sz w:val="20"/>
              </w:rPr>
              <w:t>12,478</w:t>
            </w:r>
          </w:p>
        </w:tc>
        <w:tc>
          <w:tcPr>
            <w:tcW w:w="77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b/>
                <w:sz w:val="20"/>
              </w:rPr>
              <w:t>68,615</w:t>
            </w:r>
          </w:p>
        </w:tc>
        <w:tc>
          <w:tcPr>
            <w:tcW w:w="77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b/>
                <w:sz w:val="20"/>
              </w:rPr>
              <w:t>35,798</w:t>
            </w:r>
          </w:p>
        </w:tc>
        <w:tc>
          <w:tcPr>
            <w:tcW w:w="785"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b/>
                <w:sz w:val="20"/>
              </w:rPr>
              <w:t>150,276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(b)</w:t>
            </w:r>
          </w:p>
        </w:tc>
        <w:tc>
          <w:tcPr>
            <w:tcW w:w="9971" w:type="dxa"/>
            <w:tcBorders/>
            <w:vAlign w:val="center"/>
          </w:tcPr>
          <w:p>
            <w:pPr>
              <w:pStyle w:val="TableContents"/>
              <w:bidi w:val="0"/>
              <w:spacing w:before="0" w:after="283"/>
              <w:jc w:val="both"/>
              <w:rPr>
                <w:sz w:val="20"/>
              </w:rPr>
            </w:pPr>
            <w:r>
              <w:rPr>
                <w:sz w:val="20"/>
              </w:rPr>
              <w:t>The Company recognizes non-controlling interests in an acquired entity either at fair value or at the non-controlling interest's proportionate share of the acquiree's identifiable net assets. The accounting policy election is made separately for each business combination. For the acquisitions of Solis and Iter, the Company elected to measure the non-controlling interests at their proportionate share of the acquirees' identifiable net assets, resulting in non-controlling interests of US$24.3 million and US$8.1 million, respectively.</w:t>
            </w:r>
          </w:p>
        </w:tc>
      </w:tr>
    </w:tbl>
    <w:p>
      <w:pPr>
        <w:pStyle w:val="TextBody"/>
        <w:bidi w:val="0"/>
        <w:spacing w:before="0" w:after="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335"/>
        <w:gridCol w:w="2045"/>
      </w:tblGrid>
      <w:tr>
        <w:trPr/>
        <w:tc>
          <w:tcPr>
            <w:tcW w:w="335" w:type="dxa"/>
            <w:tcBorders/>
            <w:vAlign w:val="center"/>
          </w:tcPr>
          <w:p>
            <w:pPr>
              <w:pStyle w:val="TableContents"/>
              <w:bidi w:val="0"/>
              <w:spacing w:before="0" w:after="283"/>
              <w:jc w:val="left"/>
              <w:rPr/>
            </w:pPr>
            <w:r>
              <w:rPr/>
              <w:t>31.</w:t>
            </w:r>
          </w:p>
        </w:tc>
        <w:tc>
          <w:tcPr>
            <w:tcW w:w="2045" w:type="dxa"/>
            <w:tcBorders/>
            <w:vAlign w:val="center"/>
          </w:tcPr>
          <w:p>
            <w:pPr>
              <w:pStyle w:val="TableContents"/>
              <w:bidi w:val="0"/>
              <w:spacing w:before="0" w:after="283"/>
              <w:jc w:val="left"/>
              <w:rPr/>
            </w:pPr>
            <w:r>
              <w:rPr/>
              <w:t>Financial instruments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766"/>
        <w:gridCol w:w="9334"/>
      </w:tblGrid>
      <w:tr>
        <w:trPr/>
        <w:tc>
          <w:tcPr>
            <w:tcW w:w="10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caps w:val="false"/>
                <w:smallCaps w:val="false"/>
              </w:rPr>
            </w:pPr>
            <w:r>
              <w:rPr>
                <w:caps w:val="false"/>
                <w:smallCaps w:val="false"/>
              </w:rPr>
              <w:t>(a)</w:t>
            </w:r>
          </w:p>
        </w:tc>
        <w:tc>
          <w:tcPr>
            <w:tcW w:w="9334" w:type="dxa"/>
            <w:tcBorders/>
            <w:vAlign w:val="center"/>
          </w:tcPr>
          <w:p>
            <w:pPr>
              <w:pStyle w:val="TableContents"/>
              <w:bidi w:val="0"/>
              <w:spacing w:before="0" w:after="283"/>
              <w:jc w:val="both"/>
              <w:rPr>
                <w:caps w:val="false"/>
                <w:smallCaps w:val="false"/>
              </w:rPr>
            </w:pPr>
            <w:r>
              <w:rPr>
                <w:caps w:val="false"/>
                <w:smallCaps w:val="false"/>
              </w:rPr>
              <w:t>Financial instruments by categories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its financial instruments into the categories below:</w:t>
      </w:r>
    </w:p>
    <w:p>
      <w:pPr>
        <w:pStyle w:val="TextBody"/>
        <w:bidi w:val="0"/>
        <w:spacing w:before="0" w:after="0"/>
        <w:ind w:left="0" w:right="0" w:hanging="0"/>
        <w:jc w:val="both"/>
        <w:rPr>
          <w:caps w:val="false"/>
          <w:smallCaps w:val="false"/>
        </w:rPr>
      </w:pPr>
      <w:r>
        <w:rPr>
          <w:caps w:val="false"/>
          <w:smallCaps w:val="false"/>
        </w:rPr>
        <w:t> </w:t>
      </w:r>
    </w:p>
    <w:tbl>
      <w:tblPr>
        <w:tblW w:w="9170" w:type="dxa"/>
        <w:jc w:val="center"/>
        <w:tblInd w:w="0" w:type="dxa"/>
        <w:tblLayout w:type="fixed"/>
        <w:tblCellMar>
          <w:top w:w="0" w:type="dxa"/>
          <w:left w:w="0" w:type="dxa"/>
          <w:bottom w:w="0" w:type="dxa"/>
          <w:right w:w="0" w:type="dxa"/>
        </w:tblCellMar>
      </w:tblPr>
      <w:tblGrid>
        <w:gridCol w:w="5120"/>
        <w:gridCol w:w="1430"/>
        <w:gridCol w:w="1190"/>
        <w:gridCol w:w="1430"/>
      </w:tblGrid>
      <w:tr>
        <w:trPr/>
        <w:tc>
          <w:tcPr>
            <w:tcW w:w="5120" w:type="dxa"/>
            <w:tcBorders/>
            <w:vAlign w:val="center"/>
          </w:tcPr>
          <w:p>
            <w:pPr>
              <w:pStyle w:val="TableContents"/>
              <w:bidi w:val="0"/>
              <w:spacing w:before="0" w:after="283"/>
              <w:jc w:val="left"/>
              <w:rPr/>
            </w:pPr>
            <w:r>
              <w:rPr/>
              <w:t> </w:t>
            </w:r>
          </w:p>
        </w:tc>
        <w:tc>
          <w:tcPr>
            <w:tcW w:w="143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Fair value Level</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430" w:type="dxa"/>
            <w:tcBorders>
              <w:bottom w:val="single" w:sz="8" w:space="0" w:color="000000"/>
            </w:tcBorders>
            <w:tcMar>
              <w:bottom w:w="28" w:type="dxa"/>
            </w:tcMar>
            <w:vAlign w:val="center"/>
          </w:tcPr>
          <w:p>
            <w:pPr>
              <w:pStyle w:val="TableContents"/>
              <w:bidi w:val="0"/>
              <w:jc w:val="right"/>
              <w:rPr>
                <w:b/>
              </w:rPr>
            </w:pPr>
            <w:r>
              <w:rPr>
                <w:b/>
              </w:rPr>
              <w:t>December 31,</w:t>
            </w:r>
          </w:p>
          <w:p>
            <w:pPr>
              <w:pStyle w:val="TableContents"/>
              <w:bidi w:val="0"/>
              <w:spacing w:before="0" w:after="283"/>
              <w:jc w:val="right"/>
              <w:rPr>
                <w:b/>
                <w:sz w:val="20"/>
              </w:rPr>
            </w:pPr>
            <w:r>
              <w:rPr>
                <w:b/>
                <w:sz w:val="20"/>
              </w:rPr>
              <w:t>2025</w:t>
            </w:r>
          </w:p>
        </w:tc>
      </w:tr>
      <w:tr>
        <w:trPr/>
        <w:tc>
          <w:tcPr>
            <w:tcW w:w="5120" w:type="dxa"/>
            <w:tcBorders/>
            <w:vAlign w:val="center"/>
          </w:tcPr>
          <w:p>
            <w:pPr>
              <w:pStyle w:val="TableContents"/>
              <w:bidi w:val="0"/>
              <w:spacing w:before="0" w:after="283"/>
              <w:jc w:val="left"/>
              <w:rPr>
                <w:b/>
                <w:sz w:val="20"/>
                <w:u w:val="single"/>
              </w:rPr>
            </w:pPr>
            <w:r>
              <w:rPr>
                <w:b/>
                <w:sz w:val="20"/>
                <w:u w:val="single"/>
              </w:rPr>
              <w:t>Financial assets</w:t>
            </w:r>
          </w:p>
        </w:tc>
        <w:tc>
          <w:tcPr>
            <w:tcW w:w="143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b/>
                <w:sz w:val="20"/>
              </w:rPr>
            </w:pPr>
            <w:r>
              <w:rPr>
                <w:b/>
                <w:sz w:val="20"/>
              </w:rPr>
              <w:t>Financial assets at amortized cost</w:t>
            </w:r>
          </w:p>
        </w:tc>
        <w:tc>
          <w:tcPr>
            <w:tcW w:w="143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r>
      <w:tr>
        <w:trPr/>
        <w:tc>
          <w:tcPr>
            <w:tcW w:w="5120" w:type="dxa"/>
            <w:tcBorders/>
            <w:shd w:fill="D5EAEA" w:val="clear"/>
            <w:vAlign w:val="center"/>
          </w:tcPr>
          <w:p>
            <w:pPr>
              <w:pStyle w:val="TableContents"/>
              <w:bidi w:val="0"/>
              <w:spacing w:before="0" w:after="283"/>
              <w:jc w:val="left"/>
              <w:rPr>
                <w:sz w:val="20"/>
              </w:rPr>
            </w:pPr>
            <w:r>
              <w:rPr>
                <w:sz w:val="20"/>
              </w:rPr>
              <w:t>Accounts receivable</w:t>
            </w:r>
          </w:p>
        </w:tc>
        <w:tc>
          <w:tcPr>
            <w:tcW w:w="1430" w:type="dxa"/>
            <w:tcBorders/>
            <w:shd w:fill="D5EAEA" w:val="clear"/>
            <w:vAlign w:val="center"/>
          </w:tcPr>
          <w:p>
            <w:pPr>
              <w:pStyle w:val="TableContents"/>
              <w:bidi w:val="0"/>
              <w:spacing w:before="0" w:after="283"/>
              <w:jc w:val="left"/>
              <w:rPr/>
            </w:pPr>
            <w:r>
              <w:rPr/>
              <w:t> </w:t>
            </w:r>
          </w:p>
        </w:tc>
        <w:tc>
          <w:tcPr>
            <w:tcW w:w="1190" w:type="dxa"/>
            <w:tcBorders/>
            <w:shd w:fill="D5EAEA" w:val="clear"/>
            <w:vAlign w:val="center"/>
          </w:tcPr>
          <w:p>
            <w:pPr>
              <w:pStyle w:val="TableContents"/>
              <w:bidi w:val="0"/>
              <w:spacing w:before="0" w:after="283"/>
              <w:jc w:val="right"/>
              <w:rPr>
                <w:sz w:val="20"/>
              </w:rPr>
            </w:pPr>
            <w:r>
              <w:rPr>
                <w:sz w:val="20"/>
              </w:rPr>
              <w:t>301,273</w:t>
            </w:r>
          </w:p>
        </w:tc>
        <w:tc>
          <w:tcPr>
            <w:tcW w:w="1430" w:type="dxa"/>
            <w:tcBorders/>
            <w:shd w:fill="D5EAEA" w:val="clear"/>
            <w:vAlign w:val="center"/>
          </w:tcPr>
          <w:p>
            <w:pPr>
              <w:pStyle w:val="TableContents"/>
              <w:bidi w:val="0"/>
              <w:spacing w:before="0" w:after="283"/>
              <w:jc w:val="right"/>
              <w:rPr>
                <w:sz w:val="20"/>
              </w:rPr>
            </w:pPr>
            <w:r>
              <w:rPr>
                <w:sz w:val="20"/>
              </w:rPr>
              <w:t>198,583</w:t>
            </w:r>
          </w:p>
        </w:tc>
      </w:tr>
      <w:tr>
        <w:trPr/>
        <w:tc>
          <w:tcPr>
            <w:tcW w:w="5120" w:type="dxa"/>
            <w:tcBorders/>
            <w:shd w:fill="FFFFFF" w:val="clear"/>
            <w:vAlign w:val="center"/>
          </w:tcPr>
          <w:p>
            <w:pPr>
              <w:pStyle w:val="TableContents"/>
              <w:bidi w:val="0"/>
              <w:spacing w:before="0" w:after="283"/>
              <w:jc w:val="left"/>
              <w:rPr>
                <w:sz w:val="20"/>
              </w:rPr>
            </w:pPr>
            <w:r>
              <w:rPr>
                <w:sz w:val="20"/>
              </w:rPr>
              <w:t>Cash and cash equivalents</w:t>
            </w:r>
          </w:p>
        </w:tc>
        <w:tc>
          <w:tcPr>
            <w:tcW w:w="143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sz w:val="20"/>
              </w:rPr>
            </w:pPr>
            <w:r>
              <w:rPr>
                <w:sz w:val="20"/>
              </w:rPr>
              <w:t>58,873</w:t>
            </w:r>
          </w:p>
        </w:tc>
        <w:tc>
          <w:tcPr>
            <w:tcW w:w="1430" w:type="dxa"/>
            <w:tcBorders/>
            <w:shd w:fill="FFFFFF" w:val="clear"/>
            <w:vAlign w:val="center"/>
          </w:tcPr>
          <w:p>
            <w:pPr>
              <w:pStyle w:val="TableContents"/>
              <w:bidi w:val="0"/>
              <w:spacing w:before="0" w:after="283"/>
              <w:jc w:val="right"/>
              <w:rPr>
                <w:sz w:val="20"/>
              </w:rPr>
            </w:pPr>
            <w:r>
              <w:rPr>
                <w:sz w:val="20"/>
              </w:rPr>
              <w:t>53,601</w:t>
            </w:r>
          </w:p>
        </w:tc>
      </w:tr>
      <w:tr>
        <w:trPr/>
        <w:tc>
          <w:tcPr>
            <w:tcW w:w="5120" w:type="dxa"/>
            <w:tcBorders/>
            <w:shd w:fill="D5EAEA" w:val="clear"/>
            <w:vAlign w:val="center"/>
          </w:tcPr>
          <w:p>
            <w:pPr>
              <w:pStyle w:val="TableContents"/>
              <w:bidi w:val="0"/>
              <w:spacing w:before="0" w:after="283"/>
              <w:jc w:val="left"/>
              <w:rPr>
                <w:sz w:val="20"/>
              </w:rPr>
            </w:pPr>
            <w:r>
              <w:rPr>
                <w:sz w:val="20"/>
              </w:rPr>
              <w:t>Client funds on deposit and receivables</w:t>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sz w:val="20"/>
              </w:rPr>
            </w:pPr>
            <w:r>
              <w:rPr>
                <w:sz w:val="20"/>
              </w:rPr>
              <w:t>24,914</w:t>
            </w:r>
          </w:p>
        </w:tc>
        <w:tc>
          <w:tcPr>
            <w:tcW w:w="1430" w:type="dxa"/>
            <w:tcBorders/>
            <w:shd w:fill="D5EAEA" w:val="clear"/>
            <w:vAlign w:val="center"/>
          </w:tcPr>
          <w:p>
            <w:pPr>
              <w:pStyle w:val="TableContents"/>
              <w:bidi w:val="0"/>
              <w:spacing w:before="0" w:after="283"/>
              <w:jc w:val="right"/>
              <w:rPr>
                <w:sz w:val="20"/>
              </w:rPr>
            </w:pPr>
            <w:r>
              <w:rPr>
                <w:sz w:val="20"/>
              </w:rPr>
              <w:t>25,868</w:t>
            </w:r>
          </w:p>
        </w:tc>
      </w:tr>
      <w:tr>
        <w:trPr/>
        <w:tc>
          <w:tcPr>
            <w:tcW w:w="5120" w:type="dxa"/>
            <w:tcBorders/>
            <w:shd w:fill="FFFFFF" w:val="clear"/>
            <w:vAlign w:val="center"/>
          </w:tcPr>
          <w:p>
            <w:pPr>
              <w:pStyle w:val="TableContents"/>
              <w:bidi w:val="0"/>
              <w:spacing w:before="0" w:after="283"/>
              <w:jc w:val="left"/>
              <w:rPr>
                <w:sz w:val="20"/>
              </w:rPr>
            </w:pPr>
            <w:r>
              <w:rPr>
                <w:sz w:val="20"/>
              </w:rPr>
              <w:t>Project advances</w:t>
            </w:r>
          </w:p>
        </w:tc>
        <w:tc>
          <w:tcPr>
            <w:tcW w:w="1430"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right"/>
              <w:rPr>
                <w:sz w:val="20"/>
              </w:rPr>
            </w:pPr>
            <w:r>
              <w:rPr>
                <w:sz w:val="20"/>
              </w:rPr>
              <w:t>18,044</w:t>
            </w:r>
          </w:p>
        </w:tc>
        <w:tc>
          <w:tcPr>
            <w:tcW w:w="1430" w:type="dxa"/>
            <w:tcBorders/>
            <w:shd w:fill="FFFFFF" w:val="clear"/>
            <w:vAlign w:val="center"/>
          </w:tcPr>
          <w:p>
            <w:pPr>
              <w:pStyle w:val="TableContents"/>
              <w:bidi w:val="0"/>
              <w:spacing w:before="0" w:after="283"/>
              <w:jc w:val="right"/>
              <w:rPr>
                <w:sz w:val="20"/>
              </w:rPr>
            </w:pPr>
            <w:r>
              <w:rPr>
                <w:sz w:val="20"/>
              </w:rPr>
              <w:t>12,270</w:t>
            </w:r>
          </w:p>
        </w:tc>
      </w:tr>
      <w:tr>
        <w:trPr/>
        <w:tc>
          <w:tcPr>
            <w:tcW w:w="5120" w:type="dxa"/>
            <w:tcBorders/>
            <w:shd w:fill="D5EAEA" w:val="clear"/>
            <w:vAlign w:val="center"/>
          </w:tcPr>
          <w:p>
            <w:pPr>
              <w:pStyle w:val="TableContents"/>
              <w:bidi w:val="0"/>
              <w:spacing w:before="0" w:after="283"/>
              <w:jc w:val="left"/>
              <w:rPr>
                <w:sz w:val="20"/>
              </w:rPr>
            </w:pPr>
            <w:r>
              <w:rPr>
                <w:sz w:val="20"/>
              </w:rPr>
              <w:t>Deposit/guarantee on lease agreement</w:t>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sz w:val="20"/>
              </w:rPr>
            </w:pPr>
            <w:r>
              <w:rPr>
                <w:sz w:val="20"/>
              </w:rPr>
              <w:t>2,731</w:t>
            </w:r>
          </w:p>
        </w:tc>
        <w:tc>
          <w:tcPr>
            <w:tcW w:w="1430" w:type="dxa"/>
            <w:tcBorders/>
            <w:shd w:fill="D5EAEA" w:val="clear"/>
            <w:vAlign w:val="center"/>
          </w:tcPr>
          <w:p>
            <w:pPr>
              <w:pStyle w:val="TableContents"/>
              <w:bidi w:val="0"/>
              <w:spacing w:before="0" w:after="283"/>
              <w:jc w:val="right"/>
              <w:rPr>
                <w:sz w:val="20"/>
              </w:rPr>
            </w:pPr>
            <w:r>
              <w:rPr>
                <w:sz w:val="20"/>
              </w:rPr>
              <w:t>2,558</w:t>
            </w:r>
          </w:p>
        </w:tc>
      </w:tr>
      <w:tr>
        <w:trPr/>
        <w:tc>
          <w:tcPr>
            <w:tcW w:w="5120" w:type="dxa"/>
            <w:tcBorders/>
            <w:shd w:fill="FFFFFF" w:val="clear"/>
            <w:vAlign w:val="center"/>
          </w:tcPr>
          <w:p>
            <w:pPr>
              <w:pStyle w:val="TableContents"/>
              <w:bidi w:val="0"/>
              <w:spacing w:before="0" w:after="283"/>
              <w:jc w:val="left"/>
              <w:rPr>
                <w:sz w:val="20"/>
              </w:rPr>
            </w:pPr>
            <w:r>
              <w:rPr>
                <w:sz w:val="20"/>
              </w:rPr>
              <w:t>Other financial instruments – pre-paid energy trading contracts</w:t>
            </w:r>
          </w:p>
        </w:tc>
        <w:tc>
          <w:tcPr>
            <w:tcW w:w="1430"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right"/>
              <w:rPr>
                <w:sz w:val="20"/>
              </w:rPr>
            </w:pPr>
            <w:r>
              <w:rPr>
                <w:sz w:val="20"/>
              </w:rPr>
              <w:t>16,720</w:t>
            </w:r>
          </w:p>
        </w:tc>
        <w:tc>
          <w:tcPr>
            <w:tcW w:w="1430" w:type="dxa"/>
            <w:tcBorders/>
            <w:shd w:fill="FFFFFF" w:val="clear"/>
            <w:vAlign w:val="center"/>
          </w:tcPr>
          <w:p>
            <w:pPr>
              <w:pStyle w:val="TableContents"/>
              <w:bidi w:val="0"/>
              <w:spacing w:before="0" w:after="283"/>
              <w:jc w:val="right"/>
              <w:rPr>
                <w:sz w:val="20"/>
              </w:rPr>
            </w:pPr>
            <w:r>
              <w:rPr>
                <w:sz w:val="20"/>
              </w:rPr>
              <w:t>15,049</w:t>
            </w:r>
          </w:p>
        </w:tc>
      </w:tr>
      <w:tr>
        <w:trPr/>
        <w:tc>
          <w:tcPr>
            <w:tcW w:w="5120" w:type="dxa"/>
            <w:tcBorders/>
            <w:shd w:fill="D5EAEA" w:val="clear"/>
            <w:vAlign w:val="center"/>
          </w:tcPr>
          <w:p>
            <w:pPr>
              <w:pStyle w:val="TableContents"/>
              <w:bidi w:val="0"/>
              <w:spacing w:before="0" w:after="283"/>
              <w:jc w:val="left"/>
              <w:rPr>
                <w:sz w:val="20"/>
              </w:rPr>
            </w:pPr>
            <w:r>
              <w:rPr>
                <w:sz w:val="20"/>
              </w:rPr>
              <w:t>Accounts receivable - Lavoro</w:t>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sz w:val="20"/>
              </w:rPr>
            </w:pPr>
            <w:r>
              <w:rPr>
                <w:sz w:val="20"/>
              </w:rPr>
              <w:t>15,385</w:t>
            </w:r>
          </w:p>
        </w:tc>
        <w:tc>
          <w:tcPr>
            <w:tcW w:w="1430" w:type="dxa"/>
            <w:tcBorders/>
            <w:shd w:fill="D5EAEA" w:val="clear"/>
            <w:vAlign w:val="center"/>
          </w:tcPr>
          <w:p>
            <w:pPr>
              <w:pStyle w:val="TableContents"/>
              <w:bidi w:val="0"/>
              <w:spacing w:before="0" w:after="283"/>
              <w:jc w:val="right"/>
              <w:rPr>
                <w:sz w:val="20"/>
              </w:rPr>
            </w:pPr>
            <w:r>
              <w:rPr>
                <w:sz w:val="20"/>
              </w:rPr>
              <w:t>-</w:t>
            </w:r>
          </w:p>
        </w:tc>
      </w:tr>
      <w:tr>
        <w:trPr/>
        <w:tc>
          <w:tcPr>
            <w:tcW w:w="512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right"/>
              <w:rPr/>
            </w:pPr>
            <w:r>
              <w:rPr/>
              <w:t> </w:t>
            </w:r>
          </w:p>
        </w:tc>
        <w:tc>
          <w:tcPr>
            <w:tcW w:w="1430" w:type="dxa"/>
            <w:tcBorders/>
            <w:shd w:fill="FFFFFF" w:val="clear"/>
            <w:vAlign w:val="center"/>
          </w:tcPr>
          <w:p>
            <w:pPr>
              <w:pStyle w:val="TableContents"/>
              <w:bidi w:val="0"/>
              <w:spacing w:before="0" w:after="283"/>
              <w:jc w:val="right"/>
              <w:rPr/>
            </w:pPr>
            <w:r>
              <w:rPr/>
              <w:t> </w:t>
            </w:r>
          </w:p>
        </w:tc>
      </w:tr>
      <w:tr>
        <w:trPr/>
        <w:tc>
          <w:tcPr>
            <w:tcW w:w="5120" w:type="dxa"/>
            <w:tcBorders/>
            <w:shd w:fill="D5EAEA" w:val="clear"/>
            <w:vAlign w:val="center"/>
          </w:tcPr>
          <w:p>
            <w:pPr>
              <w:pStyle w:val="TableContents"/>
              <w:bidi w:val="0"/>
              <w:spacing w:before="0" w:after="283"/>
              <w:jc w:val="left"/>
              <w:rPr>
                <w:b/>
                <w:sz w:val="20"/>
              </w:rPr>
            </w:pPr>
            <w:r>
              <w:rPr>
                <w:b/>
                <w:sz w:val="20"/>
              </w:rPr>
              <w:t xml:space="preserve">Financial assets at fair value through profit or loss </w:t>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pPr>
            <w:r>
              <w:rPr/>
              <w:t> </w:t>
            </w:r>
          </w:p>
        </w:tc>
        <w:tc>
          <w:tcPr>
            <w:tcW w:w="1430" w:type="dxa"/>
            <w:tcBorders/>
            <w:shd w:fill="D5EAEA" w:val="clear"/>
            <w:vAlign w:val="center"/>
          </w:tcPr>
          <w:p>
            <w:pPr>
              <w:pStyle w:val="TableContents"/>
              <w:bidi w:val="0"/>
              <w:spacing w:before="0" w:after="283"/>
              <w:jc w:val="right"/>
              <w:rPr/>
            </w:pPr>
            <w:r>
              <w:rPr/>
              <w:t> </w:t>
            </w:r>
          </w:p>
        </w:tc>
      </w:tr>
      <w:tr>
        <w:trPr/>
        <w:tc>
          <w:tcPr>
            <w:tcW w:w="5120" w:type="dxa"/>
            <w:tcBorders/>
            <w:shd w:fill="FFFFFF" w:val="clear"/>
            <w:vAlign w:val="center"/>
          </w:tcPr>
          <w:p>
            <w:pPr>
              <w:pStyle w:val="TableContents"/>
              <w:bidi w:val="0"/>
              <w:spacing w:before="0" w:after="283"/>
              <w:jc w:val="left"/>
              <w:rPr>
                <w:sz w:val="20"/>
              </w:rPr>
            </w:pPr>
            <w:r>
              <w:rPr>
                <w:sz w:val="20"/>
              </w:rPr>
              <w:t>Short term investments</w:t>
            </w:r>
          </w:p>
        </w:tc>
        <w:tc>
          <w:tcPr>
            <w:tcW w:w="1430" w:type="dxa"/>
            <w:tcBorders/>
            <w:shd w:fill="FFFFFF" w:val="clear"/>
            <w:vAlign w:val="center"/>
          </w:tcPr>
          <w:p>
            <w:pPr>
              <w:pStyle w:val="TableContents"/>
              <w:bidi w:val="0"/>
              <w:spacing w:before="0" w:after="283"/>
              <w:jc w:val="center"/>
              <w:rPr>
                <w:sz w:val="20"/>
              </w:rPr>
            </w:pPr>
            <w:r>
              <w:rPr>
                <w:sz w:val="20"/>
              </w:rPr>
              <w:t>1</w:t>
            </w:r>
          </w:p>
        </w:tc>
        <w:tc>
          <w:tcPr>
            <w:tcW w:w="1190" w:type="dxa"/>
            <w:tcBorders/>
            <w:shd w:fill="FFFFFF" w:val="clear"/>
            <w:vAlign w:val="center"/>
          </w:tcPr>
          <w:p>
            <w:pPr>
              <w:pStyle w:val="TableContents"/>
              <w:bidi w:val="0"/>
              <w:spacing w:before="0" w:after="283"/>
              <w:jc w:val="right"/>
              <w:rPr>
                <w:sz w:val="20"/>
              </w:rPr>
            </w:pPr>
            <w:r>
              <w:rPr>
                <w:sz w:val="20"/>
              </w:rPr>
              <w:t>54,587</w:t>
            </w:r>
          </w:p>
        </w:tc>
        <w:tc>
          <w:tcPr>
            <w:tcW w:w="1430" w:type="dxa"/>
            <w:tcBorders/>
            <w:shd w:fill="FFFFFF" w:val="clear"/>
            <w:vAlign w:val="center"/>
          </w:tcPr>
          <w:p>
            <w:pPr>
              <w:pStyle w:val="TableContents"/>
              <w:bidi w:val="0"/>
              <w:spacing w:before="0" w:after="283"/>
              <w:jc w:val="right"/>
              <w:rPr>
                <w:sz w:val="20"/>
              </w:rPr>
            </w:pPr>
            <w:r>
              <w:rPr>
                <w:sz w:val="20"/>
              </w:rPr>
              <w:t>35,111</w:t>
            </w:r>
          </w:p>
        </w:tc>
      </w:tr>
      <w:tr>
        <w:trPr/>
        <w:tc>
          <w:tcPr>
            <w:tcW w:w="5120" w:type="dxa"/>
            <w:tcBorders/>
            <w:shd w:fill="D5EAEA" w:val="clear"/>
            <w:vAlign w:val="center"/>
          </w:tcPr>
          <w:p>
            <w:pPr>
              <w:pStyle w:val="TableContents"/>
              <w:bidi w:val="0"/>
              <w:spacing w:before="0" w:after="283"/>
              <w:jc w:val="left"/>
              <w:rPr>
                <w:sz w:val="20"/>
              </w:rPr>
            </w:pPr>
            <w:r>
              <w:rPr>
                <w:sz w:val="20"/>
              </w:rPr>
              <w:t>Investments held in trust account</w:t>
            </w:r>
          </w:p>
        </w:tc>
        <w:tc>
          <w:tcPr>
            <w:tcW w:w="1430" w:type="dxa"/>
            <w:tcBorders/>
            <w:shd w:fill="D5EAEA" w:val="clear"/>
            <w:vAlign w:val="center"/>
          </w:tcPr>
          <w:p>
            <w:pPr>
              <w:pStyle w:val="TableContents"/>
              <w:bidi w:val="0"/>
              <w:spacing w:before="0" w:after="283"/>
              <w:jc w:val="center"/>
              <w:rPr>
                <w:sz w:val="20"/>
              </w:rPr>
            </w:pPr>
            <w:r>
              <w:rPr>
                <w:sz w:val="20"/>
              </w:rPr>
              <w:t>2</w:t>
            </w:r>
          </w:p>
        </w:tc>
        <w:tc>
          <w:tcPr>
            <w:tcW w:w="1190" w:type="dxa"/>
            <w:tcBorders/>
            <w:shd w:fill="D5EAEA" w:val="clear"/>
            <w:vAlign w:val="center"/>
          </w:tcPr>
          <w:p>
            <w:pPr>
              <w:pStyle w:val="TableContents"/>
              <w:bidi w:val="0"/>
              <w:spacing w:before="0" w:after="283"/>
              <w:jc w:val="right"/>
              <w:rPr>
                <w:sz w:val="20"/>
              </w:rPr>
            </w:pPr>
            <w:r>
              <w:rPr>
                <w:sz w:val="20"/>
              </w:rPr>
              <w:t>-</w:t>
            </w:r>
          </w:p>
        </w:tc>
        <w:tc>
          <w:tcPr>
            <w:tcW w:w="1430" w:type="dxa"/>
            <w:tcBorders/>
            <w:shd w:fill="D5EAEA" w:val="clear"/>
            <w:vAlign w:val="center"/>
          </w:tcPr>
          <w:p>
            <w:pPr>
              <w:pStyle w:val="TableContents"/>
              <w:bidi w:val="0"/>
              <w:spacing w:before="0" w:after="283"/>
              <w:jc w:val="right"/>
              <w:rPr>
                <w:sz w:val="20"/>
              </w:rPr>
            </w:pPr>
            <w:r>
              <w:rPr>
                <w:sz w:val="20"/>
              </w:rPr>
              <w:t>-</w:t>
            </w:r>
          </w:p>
        </w:tc>
      </w:tr>
      <w:tr>
        <w:trPr/>
        <w:tc>
          <w:tcPr>
            <w:tcW w:w="5120" w:type="dxa"/>
            <w:tcBorders/>
            <w:shd w:fill="FFFFFF" w:val="clear"/>
            <w:vAlign w:val="center"/>
          </w:tcPr>
          <w:p>
            <w:pPr>
              <w:pStyle w:val="TableContents"/>
              <w:bidi w:val="0"/>
              <w:spacing w:before="0" w:after="283"/>
              <w:jc w:val="left"/>
              <w:rPr>
                <w:sz w:val="20"/>
              </w:rPr>
            </w:pPr>
            <w:r>
              <w:rPr>
                <w:sz w:val="20"/>
              </w:rPr>
              <w:t>Accounts receivable - Lavoro</w:t>
            </w:r>
          </w:p>
        </w:tc>
        <w:tc>
          <w:tcPr>
            <w:tcW w:w="1430" w:type="dxa"/>
            <w:tcBorders/>
            <w:shd w:fill="FFFFFF" w:val="clear"/>
            <w:vAlign w:val="center"/>
          </w:tcPr>
          <w:p>
            <w:pPr>
              <w:pStyle w:val="TableContents"/>
              <w:bidi w:val="0"/>
              <w:spacing w:before="0" w:after="283"/>
              <w:jc w:val="center"/>
              <w:rPr>
                <w:sz w:val="20"/>
              </w:rPr>
            </w:pPr>
            <w:r>
              <w:rPr>
                <w:sz w:val="20"/>
              </w:rPr>
              <w:t>1</w:t>
            </w:r>
          </w:p>
        </w:tc>
        <w:tc>
          <w:tcPr>
            <w:tcW w:w="1190" w:type="dxa"/>
            <w:tcBorders/>
            <w:shd w:fill="FFFFFF" w:val="clear"/>
            <w:vAlign w:val="center"/>
          </w:tcPr>
          <w:p>
            <w:pPr>
              <w:pStyle w:val="TableContents"/>
              <w:bidi w:val="0"/>
              <w:spacing w:before="0" w:after="283"/>
              <w:jc w:val="right"/>
              <w:rPr>
                <w:sz w:val="20"/>
              </w:rPr>
            </w:pPr>
            <w:r>
              <w:rPr>
                <w:sz w:val="20"/>
              </w:rPr>
              <w:t>-</w:t>
            </w:r>
          </w:p>
        </w:tc>
        <w:tc>
          <w:tcPr>
            <w:tcW w:w="1430" w:type="dxa"/>
            <w:tcBorders/>
            <w:shd w:fill="FFFFFF" w:val="clear"/>
            <w:vAlign w:val="center"/>
          </w:tcPr>
          <w:p>
            <w:pPr>
              <w:pStyle w:val="TableContents"/>
              <w:bidi w:val="0"/>
              <w:spacing w:before="0" w:after="283"/>
              <w:jc w:val="right"/>
              <w:rPr>
                <w:sz w:val="20"/>
              </w:rPr>
            </w:pPr>
            <w:r>
              <w:rPr>
                <w:sz w:val="20"/>
              </w:rPr>
              <w:t>15,385</w:t>
            </w:r>
          </w:p>
        </w:tc>
      </w:tr>
      <w:tr>
        <w:trPr/>
        <w:tc>
          <w:tcPr>
            <w:tcW w:w="5120" w:type="dxa"/>
            <w:tcBorders/>
            <w:shd w:fill="D5EAEA" w:val="clear"/>
            <w:vAlign w:val="center"/>
          </w:tcPr>
          <w:p>
            <w:pPr>
              <w:pStyle w:val="TableContents"/>
              <w:bidi w:val="0"/>
              <w:spacing w:before="0" w:after="283"/>
              <w:jc w:val="left"/>
              <w:rPr>
                <w:sz w:val="20"/>
              </w:rPr>
            </w:pPr>
            <w:r>
              <w:rPr>
                <w:sz w:val="20"/>
              </w:rPr>
              <w:t>Long-term investments – KMP Growth Fund II</w:t>
            </w:r>
          </w:p>
        </w:tc>
        <w:tc>
          <w:tcPr>
            <w:tcW w:w="1430" w:type="dxa"/>
            <w:tcBorders/>
            <w:shd w:fill="D5EAEA" w:val="clear"/>
            <w:vAlign w:val="center"/>
          </w:tcPr>
          <w:p>
            <w:pPr>
              <w:pStyle w:val="TableContents"/>
              <w:bidi w:val="0"/>
              <w:spacing w:before="0" w:after="283"/>
              <w:jc w:val="center"/>
              <w:rPr>
                <w:sz w:val="20"/>
              </w:rPr>
            </w:pPr>
            <w:r>
              <w:rPr>
                <w:sz w:val="20"/>
              </w:rPr>
              <w:t>2</w:t>
            </w:r>
          </w:p>
        </w:tc>
        <w:tc>
          <w:tcPr>
            <w:tcW w:w="1190" w:type="dxa"/>
            <w:tcBorders/>
            <w:shd w:fill="D5EAEA" w:val="clear"/>
            <w:vAlign w:val="center"/>
          </w:tcPr>
          <w:p>
            <w:pPr>
              <w:pStyle w:val="TableContents"/>
              <w:bidi w:val="0"/>
              <w:spacing w:before="0" w:after="283"/>
              <w:jc w:val="right"/>
              <w:rPr>
                <w:sz w:val="20"/>
              </w:rPr>
            </w:pPr>
            <w:r>
              <w:rPr>
                <w:sz w:val="20"/>
              </w:rPr>
              <w:t>27,542</w:t>
            </w:r>
          </w:p>
        </w:tc>
        <w:tc>
          <w:tcPr>
            <w:tcW w:w="1430" w:type="dxa"/>
            <w:tcBorders/>
            <w:shd w:fill="D5EAEA" w:val="clear"/>
            <w:vAlign w:val="center"/>
          </w:tcPr>
          <w:p>
            <w:pPr>
              <w:pStyle w:val="TableContents"/>
              <w:bidi w:val="0"/>
              <w:spacing w:before="0" w:after="283"/>
              <w:jc w:val="right"/>
              <w:rPr>
                <w:sz w:val="20"/>
              </w:rPr>
            </w:pPr>
            <w:r>
              <w:rPr>
                <w:sz w:val="20"/>
              </w:rPr>
              <w:t>23,144</w:t>
            </w:r>
          </w:p>
        </w:tc>
      </w:tr>
      <w:tr>
        <w:trPr/>
        <w:tc>
          <w:tcPr>
            <w:tcW w:w="5120" w:type="dxa"/>
            <w:tcBorders/>
            <w:shd w:fill="FFFFFF" w:val="clear"/>
            <w:vAlign w:val="center"/>
          </w:tcPr>
          <w:p>
            <w:pPr>
              <w:pStyle w:val="TableContents"/>
              <w:bidi w:val="0"/>
              <w:spacing w:before="0" w:after="283"/>
              <w:jc w:val="left"/>
              <w:rPr>
                <w:sz w:val="20"/>
              </w:rPr>
            </w:pPr>
            <w:r>
              <w:rPr>
                <w:sz w:val="20"/>
              </w:rPr>
              <w:t>Long-term investments - Lavoro</w:t>
            </w:r>
          </w:p>
        </w:tc>
        <w:tc>
          <w:tcPr>
            <w:tcW w:w="1430" w:type="dxa"/>
            <w:tcBorders/>
            <w:shd w:fill="FFFFFF" w:val="clear"/>
            <w:vAlign w:val="center"/>
          </w:tcPr>
          <w:p>
            <w:pPr>
              <w:pStyle w:val="TableContents"/>
              <w:bidi w:val="0"/>
              <w:spacing w:before="0" w:after="283"/>
              <w:jc w:val="center"/>
              <w:rPr>
                <w:sz w:val="20"/>
              </w:rPr>
            </w:pPr>
            <w:r>
              <w:rPr>
                <w:sz w:val="20"/>
              </w:rPr>
              <w:t>1</w:t>
            </w:r>
          </w:p>
        </w:tc>
        <w:tc>
          <w:tcPr>
            <w:tcW w:w="1190" w:type="dxa"/>
            <w:tcBorders/>
            <w:shd w:fill="FFFFFF" w:val="clear"/>
            <w:vAlign w:val="center"/>
          </w:tcPr>
          <w:p>
            <w:pPr>
              <w:pStyle w:val="TableContents"/>
              <w:bidi w:val="0"/>
              <w:spacing w:before="0" w:after="283"/>
              <w:jc w:val="right"/>
              <w:rPr>
                <w:sz w:val="20"/>
              </w:rPr>
            </w:pPr>
            <w:r>
              <w:rPr>
                <w:sz w:val="20"/>
              </w:rPr>
              <w:t>-</w:t>
            </w:r>
          </w:p>
        </w:tc>
        <w:tc>
          <w:tcPr>
            <w:tcW w:w="1430" w:type="dxa"/>
            <w:tcBorders/>
            <w:shd w:fill="FFFFFF" w:val="clear"/>
            <w:vAlign w:val="center"/>
          </w:tcPr>
          <w:p>
            <w:pPr>
              <w:pStyle w:val="TableContents"/>
              <w:bidi w:val="0"/>
              <w:spacing w:before="0" w:after="283"/>
              <w:jc w:val="right"/>
              <w:rPr>
                <w:sz w:val="20"/>
              </w:rPr>
            </w:pPr>
            <w:r>
              <w:rPr>
                <w:sz w:val="20"/>
              </w:rPr>
              <w:t>1,065</w:t>
            </w:r>
          </w:p>
        </w:tc>
      </w:tr>
      <w:tr>
        <w:trPr/>
        <w:tc>
          <w:tcPr>
            <w:tcW w:w="5120" w:type="dxa"/>
            <w:tcBorders/>
            <w:shd w:fill="D5EAEA" w:val="clear"/>
            <w:vAlign w:val="center"/>
          </w:tcPr>
          <w:p>
            <w:pPr>
              <w:pStyle w:val="TableContents"/>
              <w:bidi w:val="0"/>
              <w:spacing w:before="0" w:after="283"/>
              <w:jc w:val="left"/>
              <w:rPr>
                <w:sz w:val="20"/>
              </w:rPr>
            </w:pPr>
            <w:r>
              <w:rPr>
                <w:sz w:val="20"/>
              </w:rPr>
              <w:t>Long-term investments - other</w:t>
            </w:r>
          </w:p>
        </w:tc>
        <w:tc>
          <w:tcPr>
            <w:tcW w:w="1430" w:type="dxa"/>
            <w:tcBorders/>
            <w:shd w:fill="D5EAEA" w:val="clear"/>
            <w:vAlign w:val="center"/>
          </w:tcPr>
          <w:p>
            <w:pPr>
              <w:pStyle w:val="TableContents"/>
              <w:bidi w:val="0"/>
              <w:spacing w:before="0" w:after="283"/>
              <w:jc w:val="center"/>
              <w:rPr>
                <w:sz w:val="20"/>
              </w:rPr>
            </w:pPr>
            <w:r>
              <w:rPr>
                <w:sz w:val="20"/>
              </w:rPr>
              <w:t>2</w:t>
            </w:r>
          </w:p>
        </w:tc>
        <w:tc>
          <w:tcPr>
            <w:tcW w:w="1190" w:type="dxa"/>
            <w:tcBorders/>
            <w:shd w:fill="D5EAEA" w:val="clear"/>
            <w:vAlign w:val="center"/>
          </w:tcPr>
          <w:p>
            <w:pPr>
              <w:pStyle w:val="TableContents"/>
              <w:bidi w:val="0"/>
              <w:spacing w:before="0" w:after="283"/>
              <w:jc w:val="right"/>
              <w:rPr>
                <w:sz w:val="20"/>
              </w:rPr>
            </w:pPr>
            <w:r>
              <w:rPr>
                <w:sz w:val="20"/>
              </w:rPr>
              <w:t>23,843</w:t>
            </w:r>
          </w:p>
        </w:tc>
        <w:tc>
          <w:tcPr>
            <w:tcW w:w="1430" w:type="dxa"/>
            <w:tcBorders/>
            <w:shd w:fill="D5EAEA" w:val="clear"/>
            <w:vAlign w:val="center"/>
          </w:tcPr>
          <w:p>
            <w:pPr>
              <w:pStyle w:val="TableContents"/>
              <w:bidi w:val="0"/>
              <w:spacing w:before="0" w:after="283"/>
              <w:jc w:val="right"/>
              <w:rPr>
                <w:sz w:val="20"/>
              </w:rPr>
            </w:pPr>
            <w:r>
              <w:rPr>
                <w:sz w:val="20"/>
              </w:rPr>
              <w:t xml:space="preserve">20,318 </w:t>
            </w:r>
          </w:p>
        </w:tc>
      </w:tr>
      <w:tr>
        <w:trPr/>
        <w:tc>
          <w:tcPr>
            <w:tcW w:w="5120" w:type="dxa"/>
            <w:tcBorders/>
            <w:shd w:fill="FFFFFF" w:val="clear"/>
            <w:vAlign w:val="center"/>
          </w:tcPr>
          <w:p>
            <w:pPr>
              <w:pStyle w:val="TableContents"/>
              <w:bidi w:val="0"/>
              <w:spacing w:before="0" w:after="283"/>
              <w:jc w:val="left"/>
              <w:rPr>
                <w:sz w:val="20"/>
              </w:rPr>
            </w:pPr>
            <w:r>
              <w:rPr>
                <w:sz w:val="20"/>
              </w:rPr>
              <w:t>Other financial assets – Call options</w:t>
            </w:r>
          </w:p>
        </w:tc>
        <w:tc>
          <w:tcPr>
            <w:tcW w:w="1430" w:type="dxa"/>
            <w:tcBorders/>
            <w:shd w:fill="FFFFFF" w:val="clear"/>
            <w:vAlign w:val="center"/>
          </w:tcPr>
          <w:p>
            <w:pPr>
              <w:pStyle w:val="TableContents"/>
              <w:bidi w:val="0"/>
              <w:spacing w:before="0" w:after="283"/>
              <w:jc w:val="center"/>
              <w:rPr>
                <w:sz w:val="20"/>
              </w:rPr>
            </w:pPr>
            <w:r>
              <w:rPr>
                <w:sz w:val="20"/>
              </w:rPr>
              <w:t>3</w:t>
            </w:r>
          </w:p>
        </w:tc>
        <w:tc>
          <w:tcPr>
            <w:tcW w:w="1190" w:type="dxa"/>
            <w:tcBorders/>
            <w:shd w:fill="FFFFFF" w:val="clear"/>
            <w:vAlign w:val="center"/>
          </w:tcPr>
          <w:p>
            <w:pPr>
              <w:pStyle w:val="TableContents"/>
              <w:bidi w:val="0"/>
              <w:spacing w:before="0" w:after="283"/>
              <w:jc w:val="right"/>
              <w:rPr>
                <w:sz w:val="20"/>
              </w:rPr>
            </w:pPr>
            <w:r>
              <w:rPr>
                <w:sz w:val="20"/>
              </w:rPr>
              <w:t>6,773</w:t>
            </w:r>
          </w:p>
        </w:tc>
        <w:tc>
          <w:tcPr>
            <w:tcW w:w="1430" w:type="dxa"/>
            <w:tcBorders/>
            <w:shd w:fill="FFFFFF" w:val="clear"/>
            <w:vAlign w:val="center"/>
          </w:tcPr>
          <w:p>
            <w:pPr>
              <w:pStyle w:val="TableContents"/>
              <w:bidi w:val="0"/>
              <w:spacing w:before="0" w:after="283"/>
              <w:jc w:val="right"/>
              <w:rPr>
                <w:sz w:val="20"/>
              </w:rPr>
            </w:pPr>
            <w:r>
              <w:rPr>
                <w:sz w:val="20"/>
              </w:rPr>
              <w:t>6,372</w:t>
            </w:r>
          </w:p>
        </w:tc>
      </w:tr>
      <w:tr>
        <w:trPr/>
        <w:tc>
          <w:tcPr>
            <w:tcW w:w="5120" w:type="dxa"/>
            <w:tcBorders/>
            <w:shd w:fill="D5EAEA" w:val="clear"/>
            <w:vAlign w:val="center"/>
          </w:tcPr>
          <w:p>
            <w:pPr>
              <w:pStyle w:val="TableContents"/>
              <w:bidi w:val="0"/>
              <w:spacing w:before="0" w:after="283"/>
              <w:jc w:val="left"/>
              <w:rPr>
                <w:sz w:val="20"/>
              </w:rPr>
            </w:pPr>
            <w:r>
              <w:rPr>
                <w:sz w:val="20"/>
              </w:rPr>
              <w:t>Other financial assets – Energy trading contracts</w:t>
            </w:r>
          </w:p>
        </w:tc>
        <w:tc>
          <w:tcPr>
            <w:tcW w:w="1430" w:type="dxa"/>
            <w:tcBorders/>
            <w:shd w:fill="D5EAEA" w:val="clear"/>
            <w:vAlign w:val="center"/>
          </w:tcPr>
          <w:p>
            <w:pPr>
              <w:pStyle w:val="TableContents"/>
              <w:bidi w:val="0"/>
              <w:spacing w:before="0" w:after="283"/>
              <w:jc w:val="center"/>
              <w:rPr>
                <w:sz w:val="20"/>
              </w:rPr>
            </w:pPr>
            <w:r>
              <w:rPr>
                <w:sz w:val="20"/>
              </w:rPr>
              <w:t>2</w:t>
            </w:r>
          </w:p>
        </w:tc>
        <w:tc>
          <w:tcPr>
            <w:tcW w:w="1190" w:type="dxa"/>
            <w:tcBorders/>
            <w:shd w:fill="D5EAEA" w:val="clear"/>
            <w:vAlign w:val="center"/>
          </w:tcPr>
          <w:p>
            <w:pPr>
              <w:pStyle w:val="TableContents"/>
              <w:bidi w:val="0"/>
              <w:spacing w:before="0" w:after="283"/>
              <w:jc w:val="right"/>
              <w:rPr>
                <w:sz w:val="20"/>
              </w:rPr>
            </w:pPr>
            <w:r>
              <w:rPr>
                <w:sz w:val="20"/>
              </w:rPr>
              <w:t>116,157</w:t>
            </w:r>
          </w:p>
        </w:tc>
        <w:tc>
          <w:tcPr>
            <w:tcW w:w="1430" w:type="dxa"/>
            <w:tcBorders/>
            <w:shd w:fill="D5EAEA" w:val="clear"/>
            <w:vAlign w:val="center"/>
          </w:tcPr>
          <w:p>
            <w:pPr>
              <w:pStyle w:val="TableContents"/>
              <w:bidi w:val="0"/>
              <w:spacing w:before="0" w:after="283"/>
              <w:jc w:val="right"/>
              <w:rPr>
                <w:sz w:val="20"/>
              </w:rPr>
            </w:pPr>
            <w:r>
              <w:rPr>
                <w:sz w:val="20"/>
              </w:rPr>
              <w:t>164,449</w:t>
            </w:r>
          </w:p>
        </w:tc>
      </w:tr>
      <w:tr>
        <w:trPr/>
        <w:tc>
          <w:tcPr>
            <w:tcW w:w="5120" w:type="dxa"/>
            <w:tcBorders/>
            <w:shd w:fill="FFFFFF" w:val="clear"/>
            <w:vAlign w:val="center"/>
          </w:tcPr>
          <w:p>
            <w:pPr>
              <w:pStyle w:val="TableContents"/>
              <w:bidi w:val="0"/>
              <w:spacing w:before="0" w:after="283"/>
              <w:jc w:val="left"/>
              <w:rPr>
                <w:sz w:val="20"/>
              </w:rPr>
            </w:pPr>
            <w:r>
              <w:rPr>
                <w:sz w:val="20"/>
              </w:rPr>
              <w:t>Other financial assets – Total return swap</w:t>
            </w:r>
          </w:p>
        </w:tc>
        <w:tc>
          <w:tcPr>
            <w:tcW w:w="1430" w:type="dxa"/>
            <w:tcBorders/>
            <w:shd w:fill="FFFFFF" w:val="clear"/>
            <w:vAlign w:val="center"/>
          </w:tcPr>
          <w:p>
            <w:pPr>
              <w:pStyle w:val="TableContents"/>
              <w:bidi w:val="0"/>
              <w:spacing w:before="0" w:after="283"/>
              <w:jc w:val="center"/>
              <w:rPr>
                <w:sz w:val="20"/>
              </w:rPr>
            </w:pPr>
            <w:r>
              <w:rPr>
                <w:sz w:val="20"/>
              </w:rPr>
              <w:t>2</w:t>
            </w:r>
          </w:p>
        </w:tc>
        <w:tc>
          <w:tcPr>
            <w:tcW w:w="1190" w:type="dxa"/>
            <w:tcBorders/>
            <w:shd w:fill="FFFFFF" w:val="clear"/>
            <w:vAlign w:val="center"/>
          </w:tcPr>
          <w:p>
            <w:pPr>
              <w:pStyle w:val="TableContents"/>
              <w:bidi w:val="0"/>
              <w:spacing w:before="0" w:after="283"/>
              <w:jc w:val="right"/>
              <w:rPr>
                <w:sz w:val="20"/>
              </w:rPr>
            </w:pPr>
            <w:r>
              <w:rPr>
                <w:sz w:val="20"/>
              </w:rPr>
              <w:t>-</w:t>
            </w:r>
          </w:p>
        </w:tc>
        <w:tc>
          <w:tcPr>
            <w:tcW w:w="1430" w:type="dxa"/>
            <w:tcBorders/>
            <w:shd w:fill="FFFFFF" w:val="clear"/>
            <w:vAlign w:val="center"/>
          </w:tcPr>
          <w:p>
            <w:pPr>
              <w:pStyle w:val="TableContents"/>
              <w:bidi w:val="0"/>
              <w:spacing w:before="0" w:after="283"/>
              <w:jc w:val="right"/>
              <w:rPr>
                <w:sz w:val="20"/>
              </w:rPr>
            </w:pPr>
            <w:r>
              <w:rPr>
                <w:sz w:val="20"/>
              </w:rPr>
              <w:t>1,194</w:t>
            </w:r>
          </w:p>
        </w:tc>
      </w:tr>
      <w:tr>
        <w:trPr/>
        <w:tc>
          <w:tcPr>
            <w:tcW w:w="5120" w:type="dxa"/>
            <w:tcBorders/>
            <w:shd w:fill="D5EAEA" w:val="clear"/>
            <w:vAlign w:val="center"/>
          </w:tcPr>
          <w:p>
            <w:pPr>
              <w:pStyle w:val="TableContents"/>
              <w:bidi w:val="0"/>
              <w:spacing w:before="0" w:after="283"/>
              <w:jc w:val="left"/>
              <w:rPr>
                <w:sz w:val="4"/>
                <w:szCs w:val="4"/>
              </w:rPr>
            </w:pPr>
            <w:r>
              <w:rPr>
                <w:sz w:val="4"/>
                <w:szCs w:val="4"/>
              </w:rPr>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pPr>
            <w:r>
              <w:rPr/>
              <w:t> </w:t>
            </w:r>
          </w:p>
        </w:tc>
        <w:tc>
          <w:tcPr>
            <w:tcW w:w="1430" w:type="dxa"/>
            <w:tcBorders/>
            <w:shd w:fill="D5EAEA" w:val="clear"/>
            <w:vAlign w:val="center"/>
          </w:tcPr>
          <w:p>
            <w:pPr>
              <w:pStyle w:val="TableContents"/>
              <w:bidi w:val="0"/>
              <w:spacing w:before="0" w:after="283"/>
              <w:jc w:val="right"/>
              <w:rPr/>
            </w:pPr>
            <w:r>
              <w:rPr/>
              <w:t> </w:t>
            </w:r>
          </w:p>
        </w:tc>
      </w:tr>
      <w:tr>
        <w:trPr/>
        <w:tc>
          <w:tcPr>
            <w:tcW w:w="5120" w:type="dxa"/>
            <w:tcBorders/>
            <w:shd w:fill="FFFFFF" w:val="clear"/>
            <w:vAlign w:val="center"/>
          </w:tcPr>
          <w:p>
            <w:pPr>
              <w:pStyle w:val="TableContents"/>
              <w:bidi w:val="0"/>
              <w:spacing w:before="0" w:after="283"/>
              <w:jc w:val="left"/>
              <w:rPr>
                <w:b/>
                <w:sz w:val="20"/>
                <w:u w:val="single"/>
              </w:rPr>
            </w:pPr>
            <w:r>
              <w:rPr>
                <w:b/>
                <w:sz w:val="20"/>
                <w:u w:val="single"/>
              </w:rPr>
              <w:t>Financial liabilities</w:t>
            </w:r>
          </w:p>
        </w:tc>
        <w:tc>
          <w:tcPr>
            <w:tcW w:w="1430"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right"/>
              <w:rPr/>
            </w:pPr>
            <w:r>
              <w:rPr/>
              <w:t> </w:t>
            </w:r>
          </w:p>
        </w:tc>
        <w:tc>
          <w:tcPr>
            <w:tcW w:w="1430" w:type="dxa"/>
            <w:tcBorders/>
            <w:shd w:fill="FFFFFF" w:val="clear"/>
            <w:vAlign w:val="center"/>
          </w:tcPr>
          <w:p>
            <w:pPr>
              <w:pStyle w:val="TableContents"/>
              <w:bidi w:val="0"/>
              <w:spacing w:before="0" w:after="283"/>
              <w:jc w:val="right"/>
              <w:rPr/>
            </w:pPr>
            <w:r>
              <w:rPr/>
              <w:t> </w:t>
            </w:r>
          </w:p>
        </w:tc>
      </w:tr>
      <w:tr>
        <w:trPr/>
        <w:tc>
          <w:tcPr>
            <w:tcW w:w="5120" w:type="dxa"/>
            <w:tcBorders/>
            <w:shd w:fill="D5EAEA" w:val="clear"/>
            <w:vAlign w:val="center"/>
          </w:tcPr>
          <w:p>
            <w:pPr>
              <w:pStyle w:val="TableContents"/>
              <w:bidi w:val="0"/>
              <w:spacing w:before="0" w:after="283"/>
              <w:jc w:val="left"/>
              <w:rPr/>
            </w:pPr>
            <w:r>
              <w:rPr/>
              <w:t> </w:t>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pPr>
            <w:r>
              <w:rPr/>
              <w:t> </w:t>
            </w:r>
          </w:p>
        </w:tc>
        <w:tc>
          <w:tcPr>
            <w:tcW w:w="1430" w:type="dxa"/>
            <w:tcBorders/>
            <w:shd w:fill="D5EAEA" w:val="clear"/>
            <w:vAlign w:val="center"/>
          </w:tcPr>
          <w:p>
            <w:pPr>
              <w:pStyle w:val="TableContents"/>
              <w:bidi w:val="0"/>
              <w:spacing w:before="0" w:after="283"/>
              <w:jc w:val="right"/>
              <w:rPr/>
            </w:pPr>
            <w:r>
              <w:rPr/>
              <w:t> </w:t>
            </w:r>
          </w:p>
        </w:tc>
      </w:tr>
      <w:tr>
        <w:trPr/>
        <w:tc>
          <w:tcPr>
            <w:tcW w:w="5120" w:type="dxa"/>
            <w:tcBorders/>
            <w:shd w:fill="FFFFFF" w:val="clear"/>
            <w:vAlign w:val="center"/>
          </w:tcPr>
          <w:p>
            <w:pPr>
              <w:pStyle w:val="TableContents"/>
              <w:bidi w:val="0"/>
              <w:spacing w:before="0" w:after="283"/>
              <w:jc w:val="left"/>
              <w:rPr>
                <w:b/>
                <w:sz w:val="20"/>
              </w:rPr>
            </w:pPr>
            <w:r>
              <w:rPr>
                <w:b/>
                <w:sz w:val="20"/>
              </w:rPr>
              <w:t>Financial liabilities at amortized cost</w:t>
            </w:r>
          </w:p>
        </w:tc>
        <w:tc>
          <w:tcPr>
            <w:tcW w:w="1430"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right"/>
              <w:rPr/>
            </w:pPr>
            <w:r>
              <w:rPr/>
              <w:t> </w:t>
            </w:r>
          </w:p>
        </w:tc>
        <w:tc>
          <w:tcPr>
            <w:tcW w:w="1430" w:type="dxa"/>
            <w:tcBorders/>
            <w:shd w:fill="FFFFFF" w:val="clear"/>
            <w:vAlign w:val="center"/>
          </w:tcPr>
          <w:p>
            <w:pPr>
              <w:pStyle w:val="TableContents"/>
              <w:bidi w:val="0"/>
              <w:spacing w:before="0" w:after="283"/>
              <w:jc w:val="right"/>
              <w:rPr/>
            </w:pPr>
            <w:r>
              <w:rPr/>
              <w:t> </w:t>
            </w:r>
          </w:p>
        </w:tc>
      </w:tr>
      <w:tr>
        <w:trPr/>
        <w:tc>
          <w:tcPr>
            <w:tcW w:w="5120" w:type="dxa"/>
            <w:tcBorders/>
            <w:shd w:fill="D5EAEA" w:val="clear"/>
            <w:vAlign w:val="center"/>
          </w:tcPr>
          <w:p>
            <w:pPr>
              <w:pStyle w:val="TableContents"/>
              <w:bidi w:val="0"/>
              <w:spacing w:before="0" w:after="283"/>
              <w:jc w:val="left"/>
              <w:rPr>
                <w:sz w:val="20"/>
              </w:rPr>
            </w:pPr>
            <w:r>
              <w:rPr>
                <w:sz w:val="20"/>
              </w:rPr>
              <w:t>Asset-backed payable</w:t>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sz w:val="20"/>
              </w:rPr>
            </w:pPr>
            <w:r>
              <w:rPr>
                <w:sz w:val="20"/>
              </w:rPr>
              <w:t>70,591</w:t>
            </w:r>
          </w:p>
        </w:tc>
        <w:tc>
          <w:tcPr>
            <w:tcW w:w="1430" w:type="dxa"/>
            <w:tcBorders/>
            <w:shd w:fill="D5EAEA" w:val="clear"/>
            <w:vAlign w:val="center"/>
          </w:tcPr>
          <w:p>
            <w:pPr>
              <w:pStyle w:val="TableContents"/>
              <w:bidi w:val="0"/>
              <w:spacing w:before="0" w:after="283"/>
              <w:jc w:val="right"/>
              <w:rPr>
                <w:sz w:val="20"/>
              </w:rPr>
            </w:pPr>
            <w:r>
              <w:rPr>
                <w:sz w:val="20"/>
              </w:rPr>
              <w:t>68,374</w:t>
            </w:r>
          </w:p>
        </w:tc>
      </w:tr>
      <w:tr>
        <w:trPr/>
        <w:tc>
          <w:tcPr>
            <w:tcW w:w="5120" w:type="dxa"/>
            <w:tcBorders/>
            <w:shd w:fill="FFFFFF" w:val="clear"/>
            <w:vAlign w:val="center"/>
          </w:tcPr>
          <w:p>
            <w:pPr>
              <w:pStyle w:val="TableContents"/>
              <w:bidi w:val="0"/>
              <w:spacing w:before="0" w:after="283"/>
              <w:jc w:val="left"/>
              <w:rPr>
                <w:sz w:val="20"/>
              </w:rPr>
            </w:pPr>
            <w:r>
              <w:rPr>
                <w:sz w:val="20"/>
              </w:rPr>
              <w:t>Gross obligation under put option</w:t>
            </w:r>
          </w:p>
        </w:tc>
        <w:tc>
          <w:tcPr>
            <w:tcW w:w="1430"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right"/>
              <w:rPr>
                <w:sz w:val="20"/>
              </w:rPr>
            </w:pPr>
            <w:r>
              <w:rPr>
                <w:sz w:val="20"/>
              </w:rPr>
              <w:t>55,334</w:t>
            </w:r>
          </w:p>
        </w:tc>
        <w:tc>
          <w:tcPr>
            <w:tcW w:w="1430" w:type="dxa"/>
            <w:tcBorders/>
            <w:shd w:fill="FFFFFF" w:val="clear"/>
            <w:vAlign w:val="center"/>
          </w:tcPr>
          <w:p>
            <w:pPr>
              <w:pStyle w:val="TableContents"/>
              <w:bidi w:val="0"/>
              <w:spacing w:before="0" w:after="283"/>
              <w:jc w:val="right"/>
              <w:rPr>
                <w:sz w:val="20"/>
              </w:rPr>
            </w:pPr>
            <w:r>
              <w:rPr>
                <w:sz w:val="20"/>
              </w:rPr>
              <w:t>24,577</w:t>
            </w:r>
          </w:p>
        </w:tc>
      </w:tr>
      <w:tr>
        <w:trPr/>
        <w:tc>
          <w:tcPr>
            <w:tcW w:w="5120" w:type="dxa"/>
            <w:tcBorders/>
            <w:shd w:fill="D5EAEA" w:val="clear"/>
            <w:vAlign w:val="center"/>
          </w:tcPr>
          <w:p>
            <w:pPr>
              <w:pStyle w:val="TableContents"/>
              <w:bidi w:val="0"/>
              <w:spacing w:before="0" w:after="283"/>
              <w:jc w:val="left"/>
              <w:rPr>
                <w:sz w:val="20"/>
              </w:rPr>
            </w:pPr>
            <w:r>
              <w:rPr>
                <w:sz w:val="20"/>
              </w:rPr>
              <w:t xml:space="preserve">Loans </w:t>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sz w:val="20"/>
              </w:rPr>
            </w:pPr>
            <w:r>
              <w:rPr>
                <w:sz w:val="20"/>
              </w:rPr>
              <w:t>347,334</w:t>
            </w:r>
          </w:p>
        </w:tc>
        <w:tc>
          <w:tcPr>
            <w:tcW w:w="1430" w:type="dxa"/>
            <w:tcBorders/>
            <w:shd w:fill="D5EAEA" w:val="clear"/>
            <w:vAlign w:val="center"/>
          </w:tcPr>
          <w:p>
            <w:pPr>
              <w:pStyle w:val="TableContents"/>
              <w:bidi w:val="0"/>
              <w:spacing w:before="0" w:after="283"/>
              <w:jc w:val="right"/>
              <w:rPr>
                <w:sz w:val="20"/>
              </w:rPr>
            </w:pPr>
            <w:r>
              <w:rPr>
                <w:sz w:val="20"/>
              </w:rPr>
              <w:t>174,868</w:t>
            </w:r>
          </w:p>
        </w:tc>
      </w:tr>
      <w:tr>
        <w:trPr/>
        <w:tc>
          <w:tcPr>
            <w:tcW w:w="5120" w:type="dxa"/>
            <w:tcBorders/>
            <w:shd w:fill="FFFFFF" w:val="clear"/>
            <w:vAlign w:val="center"/>
          </w:tcPr>
          <w:p>
            <w:pPr>
              <w:pStyle w:val="TableContents"/>
              <w:bidi w:val="0"/>
              <w:spacing w:before="0" w:after="283"/>
              <w:jc w:val="left"/>
              <w:rPr>
                <w:sz w:val="20"/>
              </w:rPr>
            </w:pPr>
            <w:r>
              <w:rPr>
                <w:sz w:val="20"/>
              </w:rPr>
              <w:t>Client funds payable</w:t>
            </w:r>
          </w:p>
        </w:tc>
        <w:tc>
          <w:tcPr>
            <w:tcW w:w="1430"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right"/>
              <w:rPr>
                <w:sz w:val="20"/>
              </w:rPr>
            </w:pPr>
            <w:r>
              <w:rPr>
                <w:sz w:val="20"/>
              </w:rPr>
              <w:t>24,914</w:t>
            </w:r>
          </w:p>
        </w:tc>
        <w:tc>
          <w:tcPr>
            <w:tcW w:w="1430" w:type="dxa"/>
            <w:tcBorders/>
            <w:shd w:fill="FFFFFF" w:val="clear"/>
            <w:vAlign w:val="center"/>
          </w:tcPr>
          <w:p>
            <w:pPr>
              <w:pStyle w:val="TableContents"/>
              <w:bidi w:val="0"/>
              <w:spacing w:before="0" w:after="283"/>
              <w:jc w:val="right"/>
              <w:rPr>
                <w:sz w:val="20"/>
              </w:rPr>
            </w:pPr>
            <w:r>
              <w:rPr>
                <w:sz w:val="20"/>
              </w:rPr>
              <w:t>25,868</w:t>
            </w:r>
          </w:p>
        </w:tc>
      </w:tr>
      <w:tr>
        <w:trPr/>
        <w:tc>
          <w:tcPr>
            <w:tcW w:w="5120" w:type="dxa"/>
            <w:tcBorders/>
            <w:shd w:fill="D5EAEA" w:val="clear"/>
            <w:vAlign w:val="center"/>
          </w:tcPr>
          <w:p>
            <w:pPr>
              <w:pStyle w:val="TableContents"/>
              <w:bidi w:val="0"/>
              <w:spacing w:before="0" w:after="283"/>
              <w:jc w:val="left"/>
              <w:rPr>
                <w:sz w:val="20"/>
              </w:rPr>
            </w:pPr>
            <w:r>
              <w:rPr>
                <w:sz w:val="20"/>
              </w:rPr>
              <w:t>Lease liabilities</w:t>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sz w:val="20"/>
              </w:rPr>
            </w:pPr>
            <w:r>
              <w:rPr>
                <w:sz w:val="20"/>
              </w:rPr>
              <w:t>27,290</w:t>
            </w:r>
          </w:p>
        </w:tc>
        <w:tc>
          <w:tcPr>
            <w:tcW w:w="1430" w:type="dxa"/>
            <w:tcBorders/>
            <w:shd w:fill="D5EAEA" w:val="clear"/>
            <w:vAlign w:val="center"/>
          </w:tcPr>
          <w:p>
            <w:pPr>
              <w:pStyle w:val="TableContents"/>
              <w:bidi w:val="0"/>
              <w:spacing w:before="0" w:after="283"/>
              <w:jc w:val="right"/>
              <w:rPr>
                <w:sz w:val="20"/>
              </w:rPr>
            </w:pPr>
            <w:r>
              <w:rPr>
                <w:sz w:val="20"/>
              </w:rPr>
              <w:t>23,816</w:t>
            </w:r>
          </w:p>
        </w:tc>
      </w:tr>
      <w:tr>
        <w:trPr/>
        <w:tc>
          <w:tcPr>
            <w:tcW w:w="5120" w:type="dxa"/>
            <w:tcBorders/>
            <w:shd w:fill="FFFFFF" w:val="clear"/>
            <w:vAlign w:val="center"/>
          </w:tcPr>
          <w:p>
            <w:pPr>
              <w:pStyle w:val="TableContents"/>
              <w:bidi w:val="0"/>
              <w:spacing w:before="0" w:after="283"/>
              <w:jc w:val="left"/>
              <w:rPr>
                <w:sz w:val="20"/>
              </w:rPr>
            </w:pPr>
            <w:r>
              <w:rPr>
                <w:sz w:val="20"/>
              </w:rPr>
              <w:t>Consideration payable on acquisition</w:t>
            </w:r>
          </w:p>
        </w:tc>
        <w:tc>
          <w:tcPr>
            <w:tcW w:w="1430"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right"/>
              <w:rPr>
                <w:sz w:val="20"/>
              </w:rPr>
            </w:pPr>
            <w:r>
              <w:rPr>
                <w:sz w:val="20"/>
              </w:rPr>
              <w:t>190,929</w:t>
            </w:r>
          </w:p>
        </w:tc>
        <w:tc>
          <w:tcPr>
            <w:tcW w:w="1430" w:type="dxa"/>
            <w:tcBorders/>
            <w:shd w:fill="FFFFFF" w:val="clear"/>
            <w:vAlign w:val="center"/>
          </w:tcPr>
          <w:p>
            <w:pPr>
              <w:pStyle w:val="TableContents"/>
              <w:bidi w:val="0"/>
              <w:spacing w:before="0" w:after="283"/>
              <w:jc w:val="right"/>
              <w:rPr>
                <w:sz w:val="20"/>
              </w:rPr>
            </w:pPr>
            <w:r>
              <w:rPr>
                <w:sz w:val="20"/>
              </w:rPr>
              <w:t>143,005</w:t>
            </w:r>
          </w:p>
        </w:tc>
      </w:tr>
      <w:tr>
        <w:trPr/>
        <w:tc>
          <w:tcPr>
            <w:tcW w:w="5120" w:type="dxa"/>
            <w:tcBorders/>
            <w:shd w:fill="D5EAEA" w:val="clear"/>
            <w:vAlign w:val="center"/>
          </w:tcPr>
          <w:p>
            <w:pPr>
              <w:pStyle w:val="TableContents"/>
              <w:bidi w:val="0"/>
              <w:spacing w:before="0" w:after="283"/>
              <w:jc w:val="left"/>
              <w:rPr>
                <w:sz w:val="20"/>
              </w:rPr>
            </w:pPr>
            <w:r>
              <w:rPr>
                <w:sz w:val="20"/>
              </w:rPr>
              <w:t>Suppliers</w:t>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sz w:val="20"/>
              </w:rPr>
            </w:pPr>
            <w:r>
              <w:rPr>
                <w:sz w:val="20"/>
              </w:rPr>
              <w:t>167,531</w:t>
            </w:r>
          </w:p>
        </w:tc>
        <w:tc>
          <w:tcPr>
            <w:tcW w:w="1430" w:type="dxa"/>
            <w:tcBorders/>
            <w:shd w:fill="D5EAEA" w:val="clear"/>
            <w:vAlign w:val="center"/>
          </w:tcPr>
          <w:p>
            <w:pPr>
              <w:pStyle w:val="TableContents"/>
              <w:bidi w:val="0"/>
              <w:spacing w:before="0" w:after="283"/>
              <w:jc w:val="right"/>
              <w:rPr>
                <w:sz w:val="20"/>
              </w:rPr>
            </w:pPr>
            <w:r>
              <w:rPr>
                <w:sz w:val="20"/>
              </w:rPr>
              <w:t>58,841</w:t>
            </w:r>
          </w:p>
        </w:tc>
      </w:tr>
      <w:tr>
        <w:trPr/>
        <w:tc>
          <w:tcPr>
            <w:tcW w:w="512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right"/>
              <w:rPr/>
            </w:pPr>
            <w:r>
              <w:rPr/>
              <w:t> </w:t>
            </w:r>
          </w:p>
        </w:tc>
        <w:tc>
          <w:tcPr>
            <w:tcW w:w="1430" w:type="dxa"/>
            <w:tcBorders/>
            <w:shd w:fill="FFFFFF" w:val="clear"/>
            <w:vAlign w:val="center"/>
          </w:tcPr>
          <w:p>
            <w:pPr>
              <w:pStyle w:val="TableContents"/>
              <w:bidi w:val="0"/>
              <w:spacing w:before="0" w:after="283"/>
              <w:jc w:val="right"/>
              <w:rPr/>
            </w:pPr>
            <w:r>
              <w:rPr/>
              <w:t> </w:t>
            </w:r>
          </w:p>
        </w:tc>
      </w:tr>
      <w:tr>
        <w:trPr/>
        <w:tc>
          <w:tcPr>
            <w:tcW w:w="5120" w:type="dxa"/>
            <w:tcBorders/>
            <w:shd w:fill="D5EAEA" w:val="clear"/>
            <w:vAlign w:val="center"/>
          </w:tcPr>
          <w:p>
            <w:pPr>
              <w:pStyle w:val="TableContents"/>
              <w:bidi w:val="0"/>
              <w:spacing w:before="0" w:after="283"/>
              <w:jc w:val="left"/>
              <w:rPr>
                <w:b/>
                <w:sz w:val="20"/>
              </w:rPr>
            </w:pPr>
            <w:r>
              <w:rPr>
                <w:b/>
                <w:sz w:val="20"/>
              </w:rPr>
              <w:t>Financial liabilities at fair value through profit or loss</w:t>
            </w:r>
          </w:p>
        </w:tc>
        <w:tc>
          <w:tcPr>
            <w:tcW w:w="1430" w:type="dxa"/>
            <w:tcBorders/>
            <w:shd w:fill="D5EAEA" w:val="clear"/>
            <w:vAlign w:val="center"/>
          </w:tcPr>
          <w:p>
            <w:pPr>
              <w:pStyle w:val="TableContents"/>
              <w:bidi w:val="0"/>
              <w:spacing w:before="0" w:after="283"/>
              <w:jc w:val="center"/>
              <w:rPr/>
            </w:pPr>
            <w:r>
              <w:rPr/>
              <w:t> </w:t>
            </w:r>
          </w:p>
        </w:tc>
        <w:tc>
          <w:tcPr>
            <w:tcW w:w="1190" w:type="dxa"/>
            <w:tcBorders/>
            <w:shd w:fill="D5EAEA" w:val="clear"/>
            <w:vAlign w:val="center"/>
          </w:tcPr>
          <w:p>
            <w:pPr>
              <w:pStyle w:val="TableContents"/>
              <w:bidi w:val="0"/>
              <w:spacing w:before="0" w:after="283"/>
              <w:jc w:val="right"/>
              <w:rPr/>
            </w:pPr>
            <w:r>
              <w:rPr/>
              <w:t> </w:t>
            </w:r>
          </w:p>
        </w:tc>
        <w:tc>
          <w:tcPr>
            <w:tcW w:w="1430" w:type="dxa"/>
            <w:tcBorders/>
            <w:shd w:fill="D5EAEA" w:val="clear"/>
            <w:vAlign w:val="center"/>
          </w:tcPr>
          <w:p>
            <w:pPr>
              <w:pStyle w:val="TableContents"/>
              <w:bidi w:val="0"/>
              <w:spacing w:before="0" w:after="283"/>
              <w:jc w:val="right"/>
              <w:rPr/>
            </w:pPr>
            <w:r>
              <w:rPr/>
              <w:t> </w:t>
            </w:r>
          </w:p>
        </w:tc>
      </w:tr>
      <w:tr>
        <w:trPr/>
        <w:tc>
          <w:tcPr>
            <w:tcW w:w="5120" w:type="dxa"/>
            <w:tcBorders/>
            <w:shd w:fill="FFFFFF" w:val="clear"/>
            <w:vAlign w:val="center"/>
          </w:tcPr>
          <w:p>
            <w:pPr>
              <w:pStyle w:val="TableContents"/>
              <w:bidi w:val="0"/>
              <w:spacing w:before="0" w:after="283"/>
              <w:jc w:val="left"/>
              <w:rPr>
                <w:sz w:val="20"/>
              </w:rPr>
            </w:pPr>
            <w:r>
              <w:rPr>
                <w:sz w:val="20"/>
              </w:rPr>
              <w:t>Other financial liabilities – Energy trading contracts</w:t>
              <w:tab/>
            </w:r>
          </w:p>
        </w:tc>
        <w:tc>
          <w:tcPr>
            <w:tcW w:w="1430" w:type="dxa"/>
            <w:tcBorders/>
            <w:shd w:fill="FFFFFF" w:val="clear"/>
            <w:vAlign w:val="center"/>
          </w:tcPr>
          <w:p>
            <w:pPr>
              <w:pStyle w:val="TableContents"/>
              <w:bidi w:val="0"/>
              <w:spacing w:before="0" w:after="283"/>
              <w:jc w:val="center"/>
              <w:rPr>
                <w:sz w:val="20"/>
              </w:rPr>
            </w:pPr>
            <w:r>
              <w:rPr>
                <w:sz w:val="20"/>
              </w:rPr>
              <w:t>2</w:t>
            </w:r>
          </w:p>
        </w:tc>
        <w:tc>
          <w:tcPr>
            <w:tcW w:w="1190" w:type="dxa"/>
            <w:tcBorders/>
            <w:shd w:fill="FFFFFF" w:val="clear"/>
            <w:vAlign w:val="center"/>
          </w:tcPr>
          <w:p>
            <w:pPr>
              <w:pStyle w:val="TableContents"/>
              <w:bidi w:val="0"/>
              <w:spacing w:before="0" w:after="283"/>
              <w:jc w:val="right"/>
              <w:rPr>
                <w:sz w:val="20"/>
              </w:rPr>
            </w:pPr>
            <w:r>
              <w:rPr>
                <w:sz w:val="20"/>
              </w:rPr>
              <w:t>105,662</w:t>
            </w:r>
          </w:p>
        </w:tc>
        <w:tc>
          <w:tcPr>
            <w:tcW w:w="1430" w:type="dxa"/>
            <w:tcBorders/>
            <w:shd w:fill="FFFFFF" w:val="clear"/>
            <w:vAlign w:val="center"/>
          </w:tcPr>
          <w:p>
            <w:pPr>
              <w:pStyle w:val="TableContents"/>
              <w:bidi w:val="0"/>
              <w:spacing w:before="0" w:after="283"/>
              <w:jc w:val="right"/>
              <w:rPr>
                <w:sz w:val="20"/>
              </w:rPr>
            </w:pPr>
            <w:r>
              <w:rPr>
                <w:sz w:val="20"/>
              </w:rPr>
              <w:t>149,879</w:t>
            </w:r>
          </w:p>
        </w:tc>
      </w:tr>
      <w:tr>
        <w:trPr/>
        <w:tc>
          <w:tcPr>
            <w:tcW w:w="5120" w:type="dxa"/>
            <w:tcBorders/>
            <w:shd w:fill="D5EAEA" w:val="clear"/>
            <w:vAlign w:val="center"/>
          </w:tcPr>
          <w:p>
            <w:pPr>
              <w:pStyle w:val="TableContents"/>
              <w:bidi w:val="0"/>
              <w:spacing w:before="0" w:after="283"/>
              <w:jc w:val="left"/>
              <w:rPr>
                <w:sz w:val="20"/>
              </w:rPr>
            </w:pPr>
            <w:r>
              <w:rPr>
                <w:sz w:val="20"/>
              </w:rPr>
              <w:t>Contingent consideration payable on acquisition</w:t>
            </w:r>
          </w:p>
        </w:tc>
        <w:tc>
          <w:tcPr>
            <w:tcW w:w="1430" w:type="dxa"/>
            <w:tcBorders/>
            <w:shd w:fill="D5EAEA" w:val="clear"/>
            <w:vAlign w:val="center"/>
          </w:tcPr>
          <w:p>
            <w:pPr>
              <w:pStyle w:val="TableContents"/>
              <w:bidi w:val="0"/>
              <w:spacing w:before="0" w:after="283"/>
              <w:jc w:val="center"/>
              <w:rPr>
                <w:sz w:val="20"/>
              </w:rPr>
            </w:pPr>
            <w:r>
              <w:rPr>
                <w:sz w:val="20"/>
              </w:rPr>
              <w:t>3</w:t>
            </w:r>
          </w:p>
        </w:tc>
        <w:tc>
          <w:tcPr>
            <w:tcW w:w="1190" w:type="dxa"/>
            <w:tcBorders/>
            <w:shd w:fill="D5EAEA" w:val="clear"/>
            <w:vAlign w:val="center"/>
          </w:tcPr>
          <w:p>
            <w:pPr>
              <w:pStyle w:val="TableContents"/>
              <w:bidi w:val="0"/>
              <w:spacing w:before="0" w:after="283"/>
              <w:jc w:val="right"/>
              <w:rPr>
                <w:sz w:val="20"/>
              </w:rPr>
            </w:pPr>
            <w:r>
              <w:rPr>
                <w:sz w:val="20"/>
              </w:rPr>
              <w:t>46,479</w:t>
            </w:r>
          </w:p>
        </w:tc>
        <w:tc>
          <w:tcPr>
            <w:tcW w:w="1430" w:type="dxa"/>
            <w:tcBorders/>
            <w:shd w:fill="D5EAEA" w:val="clear"/>
            <w:vAlign w:val="center"/>
          </w:tcPr>
          <w:p>
            <w:pPr>
              <w:pStyle w:val="TableContents"/>
              <w:bidi w:val="0"/>
              <w:spacing w:before="0" w:after="283"/>
              <w:jc w:val="right"/>
              <w:rPr>
                <w:sz w:val="20"/>
              </w:rPr>
            </w:pPr>
            <w:r>
              <w:rPr>
                <w:sz w:val="20"/>
              </w:rPr>
              <w:t>41,429</w:t>
            </w:r>
          </w:p>
        </w:tc>
      </w:tr>
      <w:tr>
        <w:trPr/>
        <w:tc>
          <w:tcPr>
            <w:tcW w:w="5120" w:type="dxa"/>
            <w:tcBorders/>
            <w:shd w:fill="FFFFFF" w:val="clear"/>
            <w:vAlign w:val="center"/>
          </w:tcPr>
          <w:p>
            <w:pPr>
              <w:pStyle w:val="TableContents"/>
              <w:bidi w:val="0"/>
              <w:spacing w:before="0" w:after="283"/>
              <w:jc w:val="left"/>
              <w:rPr>
                <w:sz w:val="20"/>
              </w:rPr>
            </w:pPr>
            <w:r>
              <w:rPr>
                <w:sz w:val="20"/>
              </w:rPr>
              <w:t>Other financial liabilities – Total return swap</w:t>
            </w:r>
          </w:p>
        </w:tc>
        <w:tc>
          <w:tcPr>
            <w:tcW w:w="1430" w:type="dxa"/>
            <w:tcBorders/>
            <w:shd w:fill="FFFFFF" w:val="clear"/>
            <w:vAlign w:val="center"/>
          </w:tcPr>
          <w:p>
            <w:pPr>
              <w:pStyle w:val="TableContents"/>
              <w:bidi w:val="0"/>
              <w:spacing w:before="0" w:after="283"/>
              <w:jc w:val="center"/>
              <w:rPr>
                <w:sz w:val="20"/>
              </w:rPr>
            </w:pPr>
            <w:r>
              <w:rPr>
                <w:sz w:val="20"/>
              </w:rPr>
              <w:t>2</w:t>
            </w:r>
          </w:p>
        </w:tc>
        <w:tc>
          <w:tcPr>
            <w:tcW w:w="1190" w:type="dxa"/>
            <w:tcBorders/>
            <w:shd w:fill="FFFFFF" w:val="clear"/>
            <w:vAlign w:val="center"/>
          </w:tcPr>
          <w:p>
            <w:pPr>
              <w:pStyle w:val="TableContents"/>
              <w:bidi w:val="0"/>
              <w:spacing w:before="0" w:after="283"/>
              <w:jc w:val="right"/>
              <w:rPr>
                <w:sz w:val="20"/>
              </w:rPr>
            </w:pPr>
            <w:r>
              <w:rPr>
                <w:sz w:val="20"/>
              </w:rPr>
              <w:t>5,388</w:t>
            </w:r>
          </w:p>
        </w:tc>
        <w:tc>
          <w:tcPr>
            <w:tcW w:w="1430" w:type="dxa"/>
            <w:tcBorders/>
            <w:shd w:fill="FFFFFF" w:val="clear"/>
            <w:vAlign w:val="center"/>
          </w:tcPr>
          <w:p>
            <w:pPr>
              <w:pStyle w:val="TableContents"/>
              <w:bidi w:val="0"/>
              <w:spacing w:before="0" w:after="283"/>
              <w:jc w:val="right"/>
              <w:rPr>
                <w:sz w:val="20"/>
              </w:rPr>
            </w:pPr>
            <w:r>
              <w:rPr>
                <w:sz w:val="20"/>
              </w:rPr>
              <w:t>-</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657"/>
        <w:gridCol w:w="9462"/>
      </w:tblGrid>
      <w:tr>
        <w:trPr/>
        <w:tc>
          <w:tcPr>
            <w:tcW w:w="8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caps w:val="false"/>
                <w:smallCaps w:val="false"/>
              </w:rPr>
            </w:pPr>
            <w:r>
              <w:rPr>
                <w:caps w:val="false"/>
                <w:smallCaps w:val="false"/>
              </w:rPr>
              <w:t>(b)</w:t>
            </w:r>
          </w:p>
        </w:tc>
        <w:tc>
          <w:tcPr>
            <w:tcW w:w="9462" w:type="dxa"/>
            <w:tcBorders/>
            <w:vAlign w:val="center"/>
          </w:tcPr>
          <w:p>
            <w:pPr>
              <w:pStyle w:val="TableContents"/>
              <w:bidi w:val="0"/>
              <w:spacing w:before="0" w:after="283"/>
              <w:jc w:val="both"/>
              <w:rPr>
                <w:caps w:val="false"/>
                <w:smallCaps w:val="false"/>
              </w:rPr>
            </w:pPr>
            <w:r>
              <w:rPr>
                <w:caps w:val="false"/>
                <w:smallCaps w:val="false"/>
              </w:rPr>
              <w:t>Financial instruments measured at fair value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methodologies are classified according to hierarchical levels, as included in the Consolidated Financial Statements for the year ended December 31, 2025. There were no transfers between levels during the six-month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 measured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recognized values of financial instruments measured at amortized cost correspond approximately to their fair values. Financial instruments are initially recognized at the present value of the future settlement value and subsequently adjusted for the time value of money where the future expected settlement value is significantly different from the present value. Time value of money is accounted for on loans, gross obligation under put options, consideration payable on acquisitions and lease liabilities. The remainder of financial instruments are considered short-term in nature and the current recognized value approximates its’ fair value.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1374"/>
        <w:gridCol w:w="8642"/>
      </w:tblGrid>
      <w:tr>
        <w:trPr/>
        <w:tc>
          <w:tcPr>
            <w:tcW w:w="18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caps w:val="false"/>
                <w:smallCaps w:val="false"/>
              </w:rPr>
            </w:pPr>
            <w:r>
              <w:rPr>
                <w:caps w:val="false"/>
                <w:smallCaps w:val="false"/>
              </w:rPr>
              <w:t>(c)</w:t>
            </w:r>
          </w:p>
        </w:tc>
        <w:tc>
          <w:tcPr>
            <w:tcW w:w="8642" w:type="dxa"/>
            <w:tcBorders/>
            <w:vAlign w:val="center"/>
          </w:tcPr>
          <w:p>
            <w:pPr>
              <w:pStyle w:val="TableContents"/>
              <w:bidi w:val="0"/>
              <w:spacing w:before="0" w:after="283"/>
              <w:jc w:val="both"/>
              <w:rPr>
                <w:caps w:val="false"/>
                <w:smallCaps w:val="false"/>
              </w:rPr>
            </w:pPr>
            <w:r>
              <w:rPr>
                <w:caps w:val="false"/>
                <w:smallCaps w:val="false"/>
              </w:rPr>
              <w:t>Risk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the following risks arising from the use of financial instruments: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1816"/>
        <w:gridCol w:w="8090"/>
      </w:tblGrid>
      <w:tr>
        <w:trPr/>
        <w:tc>
          <w:tcPr>
            <w:tcW w:w="29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pPr>
            <w:r>
              <w:rPr/>
              <w:t>(i)</w:t>
            </w:r>
          </w:p>
        </w:tc>
        <w:tc>
          <w:tcPr>
            <w:tcW w:w="8090" w:type="dxa"/>
            <w:tcBorders/>
            <w:vAlign w:val="center"/>
          </w:tcPr>
          <w:p>
            <w:pPr>
              <w:pStyle w:val="TableContents"/>
              <w:bidi w:val="0"/>
              <w:spacing w:before="0" w:after="283"/>
              <w:jc w:val="both"/>
              <w:rPr/>
            </w:pPr>
            <w:r>
              <w:rPr/>
              <w:t>Credit risk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1807"/>
        <w:gridCol w:w="8162"/>
      </w:tblGrid>
      <w:tr>
        <w:trPr/>
        <w:tc>
          <w:tcPr>
            <w:tcW w:w="23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pPr>
            <w:r>
              <w:rPr/>
              <w:t>(ii)</w:t>
            </w:r>
          </w:p>
        </w:tc>
        <w:tc>
          <w:tcPr>
            <w:tcW w:w="8162" w:type="dxa"/>
            <w:tcBorders/>
            <w:vAlign w:val="center"/>
          </w:tcPr>
          <w:p>
            <w:pPr>
              <w:pStyle w:val="TableContents"/>
              <w:bidi w:val="0"/>
              <w:spacing w:before="0" w:after="283"/>
              <w:jc w:val="both"/>
              <w:rPr/>
            </w:pPr>
            <w:r>
              <w:rPr/>
              <w:t>Liquidity risk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2377"/>
        <w:gridCol w:w="7571"/>
      </w:tblGrid>
      <w:tr>
        <w:trPr/>
        <w:tc>
          <w:tcPr>
            <w:tcW w:w="25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pPr>
            <w:r>
              <w:rPr/>
              <w:t>(iii)</w:t>
            </w:r>
          </w:p>
        </w:tc>
        <w:tc>
          <w:tcPr>
            <w:tcW w:w="7571" w:type="dxa"/>
            <w:tcBorders/>
            <w:vAlign w:val="center"/>
          </w:tcPr>
          <w:p>
            <w:pPr>
              <w:pStyle w:val="TableContents"/>
              <w:bidi w:val="0"/>
              <w:spacing w:before="0" w:after="283"/>
              <w:jc w:val="both"/>
              <w:rPr/>
            </w:pPr>
            <w:r>
              <w:rPr/>
              <w:t>Market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concentrations of risk by assessing the nature, extent, and impact of risks in its investment portfolio. This assessment considers a range of factors that are relevant to its investment strategy and objectives, including geographic concentration, industry concentration, counterparty risk, market risk, and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manage concentrations of risk, the Company uses various risk management strategies, including diversification, hedging, and monitoring of counterparty credit risk. The Company also regularly reports on its risk management activities and the effectiveness of its risk management policies and procedures to its audit committee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uses quantitative measures, such as percentages of its portfolio invested in particular regions or industries, to help determine concentrations of risk, it also uses its judgment and experience in assessing the overall impact of concentrations of risk on its investment portfolio and making informed investment decisions.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1173"/>
        <w:gridCol w:w="8714"/>
      </w:tblGrid>
      <w:tr>
        <w:trPr/>
        <w:tc>
          <w:tcPr>
            <w:tcW w:w="31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i/>
              </w:rPr>
            </w:pPr>
            <w:r>
              <w:rPr>
                <w:i/>
              </w:rPr>
              <w:t>i.</w:t>
            </w:r>
          </w:p>
        </w:tc>
        <w:tc>
          <w:tcPr>
            <w:tcW w:w="8714" w:type="dxa"/>
            <w:tcBorders/>
            <w:vAlign w:val="center"/>
          </w:tcPr>
          <w:p>
            <w:pPr>
              <w:pStyle w:val="TableContents"/>
              <w:bidi w:val="0"/>
              <w:spacing w:before="0" w:after="283"/>
              <w:jc w:val="both"/>
              <w:rPr>
                <w:i/>
              </w:rPr>
            </w:pPr>
            <w:r>
              <w:rPr>
                <w:i/>
              </w:rPr>
              <w:t>Credit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possibility of incurring a financial loss if a client or a counterpart in a financial instrument fails to perform its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low exposure to credit risk because its customer base consists of investors in each investment fund. These investors are required to comply with the capital calls to repay related investment fund expenses. If capital calls are not complied with, the participation of that investor is diluted among the remaining investors of the investment fund. In addition, management fees could be settled by the sale of the underlying investments kept by the investment funds. The cash and short-term investments are maintained in large banks with high credit ratings.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accounts receivable balances as of June 30, 2026, and December 31, 2025, are primarily management fees, performance fees of investment funds and advisory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receivable and project advances as of June 30, 2026, are expected to be received as demonstrated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28"/>
        <w:gridCol w:w="854"/>
        <w:gridCol w:w="96"/>
        <w:gridCol w:w="691"/>
        <w:gridCol w:w="776"/>
        <w:gridCol w:w="776"/>
        <w:gridCol w:w="745"/>
        <w:gridCol w:w="60"/>
        <w:gridCol w:w="774"/>
        <w:gridCol w:w="879"/>
        <w:gridCol w:w="776"/>
        <w:gridCol w:w="845"/>
        <w:gridCol w:w="830"/>
        <w:gridCol w:w="60"/>
        <w:gridCol w:w="715"/>
      </w:tblGrid>
      <w:tr>
        <w:trPr/>
        <w:tc>
          <w:tcPr>
            <w:tcW w:w="1328" w:type="dxa"/>
            <w:tcBorders/>
            <w:vAlign w:val="center"/>
          </w:tcPr>
          <w:p>
            <w:pPr>
              <w:pStyle w:val="TableContents"/>
              <w:bidi w:val="0"/>
              <w:spacing w:before="0" w:after="283"/>
              <w:jc w:val="left"/>
              <w:rPr/>
            </w:pPr>
            <w:r>
              <w:rPr/>
              <w:t> </w:t>
            </w:r>
          </w:p>
        </w:tc>
        <w:tc>
          <w:tcPr>
            <w:tcW w:w="393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Overdue</w:t>
            </w:r>
          </w:p>
        </w:tc>
        <w:tc>
          <w:tcPr>
            <w:tcW w:w="60" w:type="dxa"/>
            <w:tcBorders/>
            <w:vAlign w:val="center"/>
          </w:tcPr>
          <w:p>
            <w:pPr>
              <w:pStyle w:val="TableContents"/>
              <w:bidi w:val="0"/>
              <w:spacing w:before="0" w:after="283"/>
              <w:jc w:val="center"/>
              <w:rPr/>
            </w:pPr>
            <w:r>
              <w:rPr/>
              <w:t> </w:t>
            </w:r>
          </w:p>
        </w:tc>
        <w:tc>
          <w:tcPr>
            <w:tcW w:w="4104"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Due in</w:t>
            </w:r>
          </w:p>
        </w:tc>
        <w:tc>
          <w:tcPr>
            <w:tcW w:w="60" w:type="dxa"/>
            <w:tcBorders/>
            <w:vAlign w:val="center"/>
          </w:tcPr>
          <w:p>
            <w:pPr>
              <w:pStyle w:val="TableContents"/>
              <w:bidi w:val="0"/>
              <w:spacing w:before="0" w:after="283"/>
              <w:jc w:val="center"/>
              <w:rPr/>
            </w:pPr>
            <w:r>
              <w:rPr/>
              <w:t> </w:t>
            </w:r>
          </w:p>
        </w:tc>
        <w:tc>
          <w:tcPr>
            <w:tcW w:w="71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328"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Less than 90 days</w:t>
            </w:r>
          </w:p>
        </w:tc>
        <w:tc>
          <w:tcPr>
            <w:tcW w:w="691"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91 to 180 days</w:t>
            </w:r>
          </w:p>
        </w:tc>
        <w:tc>
          <w:tcPr>
            <w:tcW w:w="77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181 to 270 days</w:t>
            </w:r>
          </w:p>
        </w:tc>
        <w:tc>
          <w:tcPr>
            <w:tcW w:w="77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271 to 360 days</w:t>
            </w:r>
          </w:p>
        </w:tc>
        <w:tc>
          <w:tcPr>
            <w:tcW w:w="74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Over 360 days</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7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01 to 90 days</w:t>
            </w:r>
          </w:p>
        </w:tc>
        <w:tc>
          <w:tcPr>
            <w:tcW w:w="879"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91 to 180 days</w:t>
            </w:r>
          </w:p>
        </w:tc>
        <w:tc>
          <w:tcPr>
            <w:tcW w:w="77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181 to 270 days</w:t>
            </w:r>
          </w:p>
        </w:tc>
        <w:tc>
          <w:tcPr>
            <w:tcW w:w="84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271 to 360 days</w:t>
            </w:r>
          </w:p>
        </w:tc>
        <w:tc>
          <w:tcPr>
            <w:tcW w:w="83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Over 360 days </w:t>
            </w:r>
          </w:p>
        </w:tc>
        <w:tc>
          <w:tcPr>
            <w:tcW w:w="60" w:type="dxa"/>
            <w:tcBorders/>
            <w:vAlign w:val="center"/>
          </w:tcPr>
          <w:p>
            <w:pPr>
              <w:pStyle w:val="TableContents"/>
              <w:bidi w:val="0"/>
              <w:spacing w:before="0" w:after="283"/>
              <w:jc w:val="center"/>
              <w:rPr/>
            </w:pPr>
            <w:r>
              <w:rPr/>
              <w:t> </w:t>
            </w:r>
          </w:p>
        </w:tc>
        <w:tc>
          <w:tcPr>
            <w:tcW w:w="71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r>
      <w:tr>
        <w:trPr/>
        <w:tc>
          <w:tcPr>
            <w:tcW w:w="1328" w:type="dxa"/>
            <w:tcBorders/>
            <w:shd w:fill="D5EAEA" w:val="clear"/>
            <w:vAlign w:val="center"/>
          </w:tcPr>
          <w:p>
            <w:pPr>
              <w:pStyle w:val="TableContents"/>
              <w:bidi w:val="0"/>
              <w:spacing w:before="0" w:after="283"/>
              <w:jc w:val="left"/>
              <w:rPr>
                <w:sz w:val="20"/>
              </w:rPr>
            </w:pPr>
            <w:r>
              <w:rPr>
                <w:sz w:val="20"/>
              </w:rPr>
              <w:t xml:space="preserve">Accounts Receivable (a) </w:t>
            </w:r>
          </w:p>
        </w:tc>
        <w:tc>
          <w:tcPr>
            <w:tcW w:w="854" w:type="dxa"/>
            <w:tcBorders/>
            <w:shd w:fill="D5EAEA" w:val="clear"/>
            <w:vAlign w:val="center"/>
          </w:tcPr>
          <w:p>
            <w:pPr>
              <w:pStyle w:val="TableContents"/>
              <w:bidi w:val="0"/>
              <w:spacing w:before="0" w:after="283"/>
              <w:jc w:val="right"/>
              <w:rPr>
                <w:sz w:val="20"/>
              </w:rPr>
            </w:pPr>
            <w:r>
              <w:rPr>
                <w:sz w:val="20"/>
              </w:rPr>
              <w:t>10,526</w:t>
            </w:r>
          </w:p>
        </w:tc>
        <w:tc>
          <w:tcPr>
            <w:tcW w:w="787" w:type="dxa"/>
            <w:gridSpan w:val="2"/>
            <w:tcBorders/>
            <w:shd w:fill="D5EAEA" w:val="clear"/>
            <w:vAlign w:val="center"/>
          </w:tcPr>
          <w:p>
            <w:pPr>
              <w:pStyle w:val="TableContents"/>
              <w:bidi w:val="0"/>
              <w:spacing w:before="0" w:after="283"/>
              <w:jc w:val="right"/>
              <w:rPr>
                <w:sz w:val="20"/>
              </w:rPr>
            </w:pPr>
            <w:r>
              <w:rPr>
                <w:sz w:val="20"/>
              </w:rPr>
              <w:t>3,608</w:t>
            </w:r>
          </w:p>
        </w:tc>
        <w:tc>
          <w:tcPr>
            <w:tcW w:w="776" w:type="dxa"/>
            <w:tcBorders/>
            <w:shd w:fill="D5EAEA" w:val="clear"/>
            <w:vAlign w:val="center"/>
          </w:tcPr>
          <w:p>
            <w:pPr>
              <w:pStyle w:val="TableContents"/>
              <w:bidi w:val="0"/>
              <w:spacing w:before="0" w:after="283"/>
              <w:jc w:val="right"/>
              <w:rPr>
                <w:sz w:val="20"/>
              </w:rPr>
            </w:pPr>
            <w:r>
              <w:rPr>
                <w:sz w:val="20"/>
              </w:rPr>
              <w:t>1,884</w:t>
            </w:r>
          </w:p>
        </w:tc>
        <w:tc>
          <w:tcPr>
            <w:tcW w:w="776" w:type="dxa"/>
            <w:tcBorders/>
            <w:shd w:fill="D5EAEA" w:val="clear"/>
            <w:vAlign w:val="center"/>
          </w:tcPr>
          <w:p>
            <w:pPr>
              <w:pStyle w:val="TableContents"/>
              <w:bidi w:val="0"/>
              <w:spacing w:before="0" w:after="283"/>
              <w:jc w:val="right"/>
              <w:rPr>
                <w:sz w:val="20"/>
              </w:rPr>
            </w:pPr>
            <w:r>
              <w:rPr>
                <w:sz w:val="20"/>
              </w:rPr>
              <w:t>3,130</w:t>
            </w:r>
          </w:p>
        </w:tc>
        <w:tc>
          <w:tcPr>
            <w:tcW w:w="745" w:type="dxa"/>
            <w:tcBorders/>
            <w:shd w:fill="D5EAEA" w:val="clear"/>
            <w:vAlign w:val="center"/>
          </w:tcPr>
          <w:p>
            <w:pPr>
              <w:pStyle w:val="TableContents"/>
              <w:bidi w:val="0"/>
              <w:spacing w:before="0" w:after="283"/>
              <w:jc w:val="right"/>
              <w:rPr>
                <w:sz w:val="20"/>
              </w:rPr>
            </w:pPr>
            <w:r>
              <w:rPr>
                <w:sz w:val="20"/>
              </w:rPr>
              <w:t>7,488</w:t>
            </w:r>
          </w:p>
        </w:tc>
        <w:tc>
          <w:tcPr>
            <w:tcW w:w="60" w:type="dxa"/>
            <w:tcBorders/>
            <w:shd w:fill="D5EAEA" w:val="clear"/>
            <w:vAlign w:val="center"/>
          </w:tcPr>
          <w:p>
            <w:pPr>
              <w:pStyle w:val="TableContents"/>
              <w:bidi w:val="0"/>
              <w:spacing w:before="0" w:after="283"/>
              <w:jc w:val="right"/>
              <w:rPr/>
            </w:pPr>
            <w:r>
              <w:rPr/>
              <w:t> </w:t>
            </w:r>
          </w:p>
        </w:tc>
        <w:tc>
          <w:tcPr>
            <w:tcW w:w="774" w:type="dxa"/>
            <w:tcBorders/>
            <w:shd w:fill="D5EAEA" w:val="clear"/>
            <w:vAlign w:val="center"/>
          </w:tcPr>
          <w:p>
            <w:pPr>
              <w:pStyle w:val="TableContents"/>
              <w:bidi w:val="0"/>
              <w:spacing w:before="0" w:after="283"/>
              <w:jc w:val="right"/>
              <w:rPr>
                <w:sz w:val="20"/>
              </w:rPr>
            </w:pPr>
            <w:r>
              <w:rPr>
                <w:sz w:val="20"/>
              </w:rPr>
              <w:t>30,864</w:t>
            </w:r>
          </w:p>
        </w:tc>
        <w:tc>
          <w:tcPr>
            <w:tcW w:w="879" w:type="dxa"/>
            <w:tcBorders/>
            <w:shd w:fill="D5EAEA" w:val="clear"/>
            <w:vAlign w:val="center"/>
          </w:tcPr>
          <w:p>
            <w:pPr>
              <w:pStyle w:val="TableContents"/>
              <w:bidi w:val="0"/>
              <w:spacing w:before="0" w:after="283"/>
              <w:jc w:val="right"/>
              <w:rPr>
                <w:sz w:val="20"/>
              </w:rPr>
            </w:pPr>
            <w:r>
              <w:rPr>
                <w:sz w:val="20"/>
              </w:rPr>
              <w:t>157,383</w:t>
            </w:r>
          </w:p>
        </w:tc>
        <w:tc>
          <w:tcPr>
            <w:tcW w:w="776" w:type="dxa"/>
            <w:tcBorders/>
            <w:shd w:fill="D5EAEA" w:val="clear"/>
            <w:vAlign w:val="center"/>
          </w:tcPr>
          <w:p>
            <w:pPr>
              <w:pStyle w:val="TableContents"/>
              <w:bidi w:val="0"/>
              <w:spacing w:before="0" w:after="283"/>
              <w:jc w:val="right"/>
              <w:rPr>
                <w:sz w:val="20"/>
              </w:rPr>
            </w:pPr>
            <w:r>
              <w:rPr>
                <w:sz w:val="20"/>
              </w:rPr>
              <w:t>104</w:t>
            </w:r>
          </w:p>
        </w:tc>
        <w:tc>
          <w:tcPr>
            <w:tcW w:w="845" w:type="dxa"/>
            <w:tcBorders/>
            <w:shd w:fill="D5EAEA" w:val="clear"/>
            <w:vAlign w:val="center"/>
          </w:tcPr>
          <w:p>
            <w:pPr>
              <w:pStyle w:val="TableContents"/>
              <w:bidi w:val="0"/>
              <w:spacing w:before="0" w:after="283"/>
              <w:jc w:val="right"/>
              <w:rPr>
                <w:sz w:val="20"/>
              </w:rPr>
            </w:pPr>
            <w:r>
              <w:rPr>
                <w:sz w:val="20"/>
              </w:rPr>
              <w:t>82,770</w:t>
            </w:r>
          </w:p>
        </w:tc>
        <w:tc>
          <w:tcPr>
            <w:tcW w:w="830" w:type="dxa"/>
            <w:tcBorders/>
            <w:shd w:fill="D5EAEA" w:val="clear"/>
            <w:vAlign w:val="center"/>
          </w:tcPr>
          <w:p>
            <w:pPr>
              <w:pStyle w:val="TableContents"/>
              <w:bidi w:val="0"/>
              <w:spacing w:before="0" w:after="283"/>
              <w:jc w:val="right"/>
              <w:rPr>
                <w:sz w:val="20"/>
              </w:rPr>
            </w:pPr>
            <w:r>
              <w:rPr>
                <w:sz w:val="20"/>
              </w:rPr>
              <w:t>18,901</w:t>
            </w:r>
          </w:p>
        </w:tc>
        <w:tc>
          <w:tcPr>
            <w:tcW w:w="60" w:type="dxa"/>
            <w:tcBorders/>
            <w:shd w:fill="D5EAEA" w:val="clear"/>
            <w:vAlign w:val="center"/>
          </w:tcPr>
          <w:p>
            <w:pPr>
              <w:pStyle w:val="TableContents"/>
              <w:bidi w:val="0"/>
              <w:spacing w:before="0" w:after="283"/>
              <w:jc w:val="right"/>
              <w:rPr/>
            </w:pPr>
            <w:r>
              <w:rPr/>
              <w:t> </w:t>
            </w:r>
          </w:p>
        </w:tc>
        <w:tc>
          <w:tcPr>
            <w:tcW w:w="715" w:type="dxa"/>
            <w:tcBorders/>
            <w:shd w:fill="D5EAEA" w:val="clear"/>
            <w:vAlign w:val="center"/>
          </w:tcPr>
          <w:p>
            <w:pPr>
              <w:pStyle w:val="TableContents"/>
              <w:bidi w:val="0"/>
              <w:spacing w:before="0" w:after="283"/>
              <w:jc w:val="right"/>
              <w:rPr>
                <w:b/>
                <w:sz w:val="20"/>
              </w:rPr>
            </w:pPr>
            <w:r>
              <w:rPr>
                <w:b/>
                <w:sz w:val="20"/>
              </w:rPr>
              <w:t>316,658</w:t>
            </w:r>
          </w:p>
        </w:tc>
      </w:tr>
      <w:tr>
        <w:trPr/>
        <w:tc>
          <w:tcPr>
            <w:tcW w:w="1328" w:type="dxa"/>
            <w:tcBorders/>
            <w:shd w:fill="FFFFFF" w:val="clear"/>
            <w:vAlign w:val="center"/>
          </w:tcPr>
          <w:p>
            <w:pPr>
              <w:pStyle w:val="TableContents"/>
              <w:bidi w:val="0"/>
              <w:spacing w:before="0" w:after="283"/>
              <w:jc w:val="left"/>
              <w:rPr>
                <w:sz w:val="20"/>
              </w:rPr>
            </w:pPr>
            <w:r>
              <w:rPr>
                <w:sz w:val="20"/>
              </w:rPr>
              <w:t>Project Advances</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87" w:type="dxa"/>
            <w:gridSpan w:val="2"/>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60" w:type="dxa"/>
            <w:tcBorders/>
            <w:shd w:fill="FFFFFF" w:val="clear"/>
            <w:vAlign w:val="center"/>
          </w:tcPr>
          <w:p>
            <w:pPr>
              <w:pStyle w:val="TableContents"/>
              <w:bidi w:val="0"/>
              <w:spacing w:before="0" w:after="283"/>
              <w:jc w:val="right"/>
              <w:rPr/>
            </w:pPr>
            <w:r>
              <w:rPr/>
              <w:t> </w:t>
            </w:r>
          </w:p>
        </w:tc>
        <w:tc>
          <w:tcPr>
            <w:tcW w:w="7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5,194</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4,484</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2,224</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6,142</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right"/>
              <w:rPr/>
            </w:pPr>
            <w:r>
              <w:rPr/>
              <w:t> </w:t>
            </w:r>
          </w:p>
        </w:tc>
        <w:tc>
          <w:tcPr>
            <w:tcW w:w="71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18,044</w:t>
            </w:r>
          </w:p>
        </w:tc>
      </w:tr>
      <w:tr>
        <w:trPr/>
        <w:tc>
          <w:tcPr>
            <w:tcW w:w="1328" w:type="dxa"/>
            <w:tcBorders/>
            <w:shd w:fill="D5EAEA" w:val="clear"/>
            <w:vAlign w:val="center"/>
          </w:tcPr>
          <w:p>
            <w:pPr>
              <w:pStyle w:val="TableContents"/>
              <w:bidi w:val="0"/>
              <w:spacing w:before="0" w:after="283"/>
              <w:jc w:val="left"/>
              <w:rPr>
                <w:b/>
                <w:sz w:val="20"/>
              </w:rPr>
            </w:pPr>
            <w:r>
              <w:rPr>
                <w:b/>
                <w:sz w:val="20"/>
              </w:rPr>
              <w:t xml:space="preserve">Total </w:t>
            </w:r>
          </w:p>
        </w:tc>
        <w:tc>
          <w:tcPr>
            <w:tcW w:w="854"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10,526</w:t>
            </w:r>
          </w:p>
        </w:tc>
        <w:tc>
          <w:tcPr>
            <w:tcW w:w="787" w:type="dxa"/>
            <w:gridSpan w:val="2"/>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3,608</w:t>
            </w:r>
          </w:p>
        </w:tc>
        <w:tc>
          <w:tcPr>
            <w:tcW w:w="776"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1,884</w:t>
            </w:r>
          </w:p>
        </w:tc>
        <w:tc>
          <w:tcPr>
            <w:tcW w:w="776"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3,130</w:t>
            </w:r>
          </w:p>
        </w:tc>
        <w:tc>
          <w:tcPr>
            <w:tcW w:w="74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7,488</w:t>
            </w:r>
          </w:p>
        </w:tc>
        <w:tc>
          <w:tcPr>
            <w:tcW w:w="60" w:type="dxa"/>
            <w:tcBorders/>
            <w:shd w:fill="D5EAEA" w:val="clear"/>
            <w:vAlign w:val="center"/>
          </w:tcPr>
          <w:p>
            <w:pPr>
              <w:pStyle w:val="TableContents"/>
              <w:bidi w:val="0"/>
              <w:spacing w:before="0" w:after="283"/>
              <w:jc w:val="right"/>
              <w:rPr/>
            </w:pPr>
            <w:r>
              <w:rPr/>
              <w:t> </w:t>
            </w:r>
          </w:p>
        </w:tc>
        <w:tc>
          <w:tcPr>
            <w:tcW w:w="774"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36,058</w:t>
            </w:r>
          </w:p>
        </w:tc>
        <w:tc>
          <w:tcPr>
            <w:tcW w:w="879"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161,867</w:t>
            </w:r>
          </w:p>
        </w:tc>
        <w:tc>
          <w:tcPr>
            <w:tcW w:w="776"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2,328</w:t>
            </w:r>
          </w:p>
        </w:tc>
        <w:tc>
          <w:tcPr>
            <w:tcW w:w="84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88,912</w:t>
            </w:r>
          </w:p>
        </w:tc>
        <w:tc>
          <w:tcPr>
            <w:tcW w:w="830"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18,901</w:t>
            </w:r>
          </w:p>
        </w:tc>
        <w:tc>
          <w:tcPr>
            <w:tcW w:w="60" w:type="dxa"/>
            <w:tcBorders/>
            <w:shd w:fill="D5EAEA" w:val="clear"/>
            <w:vAlign w:val="center"/>
          </w:tcPr>
          <w:p>
            <w:pPr>
              <w:pStyle w:val="TableContents"/>
              <w:bidi w:val="0"/>
              <w:spacing w:before="0" w:after="283"/>
              <w:jc w:val="right"/>
              <w:rPr/>
            </w:pPr>
            <w:r>
              <w:rPr/>
              <w:t> </w:t>
            </w:r>
          </w:p>
        </w:tc>
        <w:tc>
          <w:tcPr>
            <w:tcW w:w="715" w:type="dxa"/>
            <w:tcBorders>
              <w:bottom w:val="single" w:sz="8" w:space="0" w:color="000000"/>
            </w:tcBorders>
            <w:shd w:fill="D5EAEA" w:val="clear"/>
            <w:tcMar>
              <w:bottom w:w="28" w:type="dxa"/>
            </w:tcMar>
            <w:vAlign w:val="center"/>
          </w:tcPr>
          <w:p>
            <w:pPr>
              <w:pStyle w:val="TableContents"/>
              <w:bidi w:val="0"/>
              <w:spacing w:before="0" w:after="283"/>
              <w:jc w:val="right"/>
              <w:rPr>
                <w:b/>
                <w:sz w:val="20"/>
              </w:rPr>
            </w:pPr>
            <w:r>
              <w:rPr>
                <w:b/>
                <w:sz w:val="20"/>
              </w:rPr>
              <w:t>334,702</w:t>
            </w:r>
          </w:p>
        </w:tc>
      </w:tr>
      <w:tr>
        <w:trPr/>
        <w:tc>
          <w:tcPr>
            <w:tcW w:w="132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11"/>
        <w:gridCol w:w="809"/>
        <w:gridCol w:w="9285"/>
      </w:tblGrid>
      <w:tr>
        <w:trPr/>
        <w:tc>
          <w:tcPr>
            <w:tcW w:w="1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(a)</w:t>
            </w:r>
          </w:p>
        </w:tc>
        <w:tc>
          <w:tcPr>
            <w:tcW w:w="9285" w:type="dxa"/>
            <w:tcBorders/>
            <w:vAlign w:val="center"/>
          </w:tcPr>
          <w:p>
            <w:pPr>
              <w:pStyle w:val="TableContents"/>
              <w:bidi w:val="0"/>
              <w:spacing w:before="0" w:after="283"/>
              <w:jc w:val="both"/>
              <w:rPr/>
            </w:pPr>
            <w:r>
              <w:rPr/>
              <w:t>Due in "Over 360 days" include: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5"/>
        <w:gridCol w:w="10050"/>
      </w:tblGrid>
      <w:tr>
        <w:trPr/>
        <w:tc>
          <w:tcPr>
            <w:tcW w:w="4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postponed balance of US$76.8 million for PBPE VI LP. (“PBPE Fund IV”) - refer to note 8(b).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56"/>
        <w:gridCol w:w="9996"/>
      </w:tblGrid>
      <w:tr>
        <w:trPr/>
        <w:tc>
          <w:tcPr>
            <w:tcW w:w="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The Lavoro asset-linked receivable of US$15.4 million - refer to note 8(c).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294"/>
        <w:gridCol w:w="8666"/>
      </w:tblGrid>
      <w:tr>
        <w:trPr/>
        <w:tc>
          <w:tcPr>
            <w:tcW w:w="24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i/>
              </w:rPr>
            </w:pPr>
            <w:r>
              <w:rPr>
                <w:i/>
              </w:rPr>
              <w:t>ii.</w:t>
            </w:r>
          </w:p>
        </w:tc>
        <w:tc>
          <w:tcPr>
            <w:tcW w:w="8666" w:type="dxa"/>
            <w:tcBorders/>
            <w:vAlign w:val="center"/>
          </w:tcPr>
          <w:p>
            <w:pPr>
              <w:pStyle w:val="TableContents"/>
              <w:bidi w:val="0"/>
              <w:spacing w:before="0" w:after="283"/>
              <w:jc w:val="both"/>
              <w:rPr>
                <w:i/>
              </w:rPr>
            </w:pPr>
            <w:r>
              <w:rPr>
                <w:i/>
              </w:rPr>
              <w:t>Liquidity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possibility that an entity will encounter difficulty in meeting obligations associated with financial liabilities that are settled by delivering cash or another financial assets which might affect the Company’s payment ability, taking into consideration the different currencies and settlement terms of its financial assets and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actively manages its cash and cash equivalents and short-term investments, keeping them available for paying its obligations and reducing its exposure to liquidity risk. In addition, the Company has the option for certain financial instruments to be settled either in cash or through its own equity instruments, Class A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future payments reflect undiscounted future cash outflows to settle financial liabilities as of June 30, 2026, which are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3575"/>
        <w:gridCol w:w="1057"/>
        <w:gridCol w:w="1126"/>
        <w:gridCol w:w="1214"/>
        <w:gridCol w:w="1214"/>
        <w:gridCol w:w="1157"/>
        <w:gridCol w:w="862"/>
      </w:tblGrid>
      <w:tr>
        <w:trPr/>
        <w:tc>
          <w:tcPr>
            <w:tcW w:w="3575" w:type="dxa"/>
            <w:tcBorders/>
            <w:vAlign w:val="center"/>
          </w:tcPr>
          <w:p>
            <w:pPr>
              <w:pStyle w:val="TableContents"/>
              <w:bidi w:val="0"/>
              <w:spacing w:before="0" w:after="283"/>
              <w:jc w:val="center"/>
              <w:rPr/>
            </w:pPr>
            <w:r>
              <w:rPr/>
              <w:t> </w:t>
            </w:r>
          </w:p>
        </w:tc>
        <w:tc>
          <w:tcPr>
            <w:tcW w:w="6630" w:type="dxa"/>
            <w:gridSpan w:val="6"/>
            <w:tcBorders/>
            <w:vAlign w:val="center"/>
          </w:tcPr>
          <w:p>
            <w:pPr>
              <w:pStyle w:val="TableContents"/>
              <w:bidi w:val="0"/>
              <w:spacing w:before="0" w:after="283"/>
              <w:jc w:val="center"/>
              <w:rPr>
                <w:b/>
                <w:sz w:val="20"/>
              </w:rPr>
            </w:pPr>
            <w:r>
              <w:rPr>
                <w:b/>
                <w:sz w:val="20"/>
              </w:rPr>
              <w:t>Expected liabilities to be paid in</w:t>
            </w:r>
          </w:p>
        </w:tc>
      </w:tr>
      <w:tr>
        <w:trPr/>
        <w:tc>
          <w:tcPr>
            <w:tcW w:w="3575" w:type="dxa"/>
            <w:tcBorders/>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01 to 60 days</w:t>
            </w:r>
          </w:p>
        </w:tc>
        <w:tc>
          <w:tcPr>
            <w:tcW w:w="112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61 to 120 days</w:t>
            </w:r>
          </w:p>
        </w:tc>
        <w:tc>
          <w:tcPr>
            <w:tcW w:w="121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121 to 180 days</w:t>
            </w:r>
          </w:p>
        </w:tc>
        <w:tc>
          <w:tcPr>
            <w:tcW w:w="121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181 to 360 days</w:t>
            </w:r>
          </w:p>
        </w:tc>
        <w:tc>
          <w:tcPr>
            <w:tcW w:w="1157"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Over 360 days</w:t>
            </w:r>
          </w:p>
        </w:tc>
        <w:tc>
          <w:tcPr>
            <w:tcW w:w="86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r>
      <w:tr>
        <w:trPr/>
        <w:tc>
          <w:tcPr>
            <w:tcW w:w="3575" w:type="dxa"/>
            <w:tcBorders/>
            <w:shd w:fill="D5EAEA" w:val="clear"/>
            <w:vAlign w:val="center"/>
          </w:tcPr>
          <w:p>
            <w:pPr>
              <w:pStyle w:val="TableContents"/>
              <w:bidi w:val="0"/>
              <w:spacing w:before="0" w:after="283"/>
              <w:jc w:val="left"/>
              <w:rPr>
                <w:sz w:val="20"/>
              </w:rPr>
            </w:pPr>
            <w:r>
              <w:rPr>
                <w:sz w:val="20"/>
              </w:rPr>
              <w:t>Suppliers</w:t>
            </w:r>
          </w:p>
        </w:tc>
        <w:tc>
          <w:tcPr>
            <w:tcW w:w="1057" w:type="dxa"/>
            <w:tcBorders/>
            <w:shd w:fill="D5EAEA" w:val="clear"/>
            <w:vAlign w:val="center"/>
          </w:tcPr>
          <w:p>
            <w:pPr>
              <w:pStyle w:val="TableContents"/>
              <w:bidi w:val="0"/>
              <w:spacing w:before="0" w:after="283"/>
              <w:jc w:val="right"/>
              <w:rPr>
                <w:sz w:val="20"/>
              </w:rPr>
            </w:pPr>
            <w:r>
              <w:rPr>
                <w:sz w:val="20"/>
              </w:rPr>
              <w:t>167,531</w:t>
            </w:r>
          </w:p>
        </w:tc>
        <w:tc>
          <w:tcPr>
            <w:tcW w:w="1126" w:type="dxa"/>
            <w:tcBorders/>
            <w:shd w:fill="D5EAEA" w:val="clear"/>
            <w:vAlign w:val="center"/>
          </w:tcPr>
          <w:p>
            <w:pPr>
              <w:pStyle w:val="TableContents"/>
              <w:bidi w:val="0"/>
              <w:spacing w:before="0" w:after="283"/>
              <w:jc w:val="right"/>
              <w:rPr>
                <w:sz w:val="20"/>
              </w:rPr>
            </w:pPr>
            <w:r>
              <w:rPr>
                <w:sz w:val="20"/>
              </w:rPr>
              <w:t>-</w:t>
            </w:r>
          </w:p>
        </w:tc>
        <w:tc>
          <w:tcPr>
            <w:tcW w:w="1214" w:type="dxa"/>
            <w:tcBorders/>
            <w:shd w:fill="D5EAEA" w:val="clear"/>
            <w:vAlign w:val="center"/>
          </w:tcPr>
          <w:p>
            <w:pPr>
              <w:pStyle w:val="TableContents"/>
              <w:bidi w:val="0"/>
              <w:spacing w:before="0" w:after="283"/>
              <w:jc w:val="right"/>
              <w:rPr>
                <w:sz w:val="20"/>
              </w:rPr>
            </w:pPr>
            <w:r>
              <w:rPr>
                <w:sz w:val="20"/>
              </w:rPr>
              <w:t>-</w:t>
            </w:r>
          </w:p>
        </w:tc>
        <w:tc>
          <w:tcPr>
            <w:tcW w:w="1214" w:type="dxa"/>
            <w:tcBorders/>
            <w:shd w:fill="D5EAEA" w:val="clear"/>
            <w:vAlign w:val="center"/>
          </w:tcPr>
          <w:p>
            <w:pPr>
              <w:pStyle w:val="TableContents"/>
              <w:bidi w:val="0"/>
              <w:spacing w:before="0" w:after="283"/>
              <w:jc w:val="right"/>
              <w:rPr>
                <w:sz w:val="20"/>
              </w:rPr>
            </w:pPr>
            <w:r>
              <w:rPr>
                <w:sz w:val="20"/>
              </w:rPr>
              <w:t>-</w:t>
            </w:r>
          </w:p>
        </w:tc>
        <w:tc>
          <w:tcPr>
            <w:tcW w:w="1157" w:type="dxa"/>
            <w:tcBorders/>
            <w:shd w:fill="D5EAEA" w:val="clear"/>
            <w:vAlign w:val="center"/>
          </w:tcPr>
          <w:p>
            <w:pPr>
              <w:pStyle w:val="TableContents"/>
              <w:bidi w:val="0"/>
              <w:spacing w:before="0" w:after="283"/>
              <w:jc w:val="right"/>
              <w:rPr>
                <w:sz w:val="20"/>
              </w:rPr>
            </w:pPr>
            <w:r>
              <w:rPr>
                <w:sz w:val="20"/>
              </w:rPr>
              <w:t>-</w:t>
            </w:r>
          </w:p>
        </w:tc>
        <w:tc>
          <w:tcPr>
            <w:tcW w:w="862" w:type="dxa"/>
            <w:tcBorders/>
            <w:shd w:fill="D5EAEA" w:val="clear"/>
            <w:vAlign w:val="center"/>
          </w:tcPr>
          <w:p>
            <w:pPr>
              <w:pStyle w:val="TableContents"/>
              <w:bidi w:val="0"/>
              <w:spacing w:before="0" w:after="283"/>
              <w:jc w:val="right"/>
              <w:rPr>
                <w:sz w:val="20"/>
              </w:rPr>
            </w:pPr>
            <w:r>
              <w:rPr>
                <w:sz w:val="20"/>
              </w:rPr>
              <w:t>167,531</w:t>
            </w:r>
          </w:p>
        </w:tc>
      </w:tr>
      <w:tr>
        <w:trPr/>
        <w:tc>
          <w:tcPr>
            <w:tcW w:w="3575" w:type="dxa"/>
            <w:tcBorders/>
            <w:shd w:fill="FFFFFF" w:val="clear"/>
            <w:vAlign w:val="center"/>
          </w:tcPr>
          <w:p>
            <w:pPr>
              <w:pStyle w:val="TableContents"/>
              <w:bidi w:val="0"/>
              <w:spacing w:before="0" w:after="283"/>
              <w:jc w:val="left"/>
              <w:rPr>
                <w:sz w:val="20"/>
              </w:rPr>
            </w:pPr>
            <w:r>
              <w:rPr>
                <w:sz w:val="20"/>
              </w:rPr>
              <w:t>Lease payments</w:t>
            </w:r>
          </w:p>
        </w:tc>
        <w:tc>
          <w:tcPr>
            <w:tcW w:w="1057" w:type="dxa"/>
            <w:tcBorders/>
            <w:shd w:fill="FFFFFF" w:val="clear"/>
            <w:vAlign w:val="center"/>
          </w:tcPr>
          <w:p>
            <w:pPr>
              <w:pStyle w:val="TableContents"/>
              <w:bidi w:val="0"/>
              <w:spacing w:before="0" w:after="283"/>
              <w:jc w:val="right"/>
              <w:rPr>
                <w:sz w:val="20"/>
              </w:rPr>
            </w:pPr>
            <w:r>
              <w:rPr>
                <w:sz w:val="20"/>
              </w:rPr>
              <w:t>1,137</w:t>
            </w:r>
          </w:p>
        </w:tc>
        <w:tc>
          <w:tcPr>
            <w:tcW w:w="1126" w:type="dxa"/>
            <w:tcBorders/>
            <w:shd w:fill="FFFFFF" w:val="clear"/>
            <w:vAlign w:val="center"/>
          </w:tcPr>
          <w:p>
            <w:pPr>
              <w:pStyle w:val="TableContents"/>
              <w:bidi w:val="0"/>
              <w:spacing w:before="0" w:after="283"/>
              <w:jc w:val="right"/>
              <w:rPr>
                <w:sz w:val="20"/>
              </w:rPr>
            </w:pPr>
            <w:r>
              <w:rPr>
                <w:sz w:val="20"/>
              </w:rPr>
              <w:t>1,170</w:t>
            </w:r>
          </w:p>
        </w:tc>
        <w:tc>
          <w:tcPr>
            <w:tcW w:w="1214" w:type="dxa"/>
            <w:tcBorders/>
            <w:shd w:fill="FFFFFF" w:val="clear"/>
            <w:vAlign w:val="center"/>
          </w:tcPr>
          <w:p>
            <w:pPr>
              <w:pStyle w:val="TableContents"/>
              <w:bidi w:val="0"/>
              <w:spacing w:before="0" w:after="283"/>
              <w:jc w:val="right"/>
              <w:rPr>
                <w:sz w:val="20"/>
              </w:rPr>
            </w:pPr>
            <w:r>
              <w:rPr>
                <w:sz w:val="20"/>
              </w:rPr>
              <w:t>1,203</w:t>
            </w:r>
          </w:p>
        </w:tc>
        <w:tc>
          <w:tcPr>
            <w:tcW w:w="1214" w:type="dxa"/>
            <w:tcBorders/>
            <w:shd w:fill="FFFFFF" w:val="clear"/>
            <w:vAlign w:val="center"/>
          </w:tcPr>
          <w:p>
            <w:pPr>
              <w:pStyle w:val="TableContents"/>
              <w:bidi w:val="0"/>
              <w:spacing w:before="0" w:after="283"/>
              <w:jc w:val="right"/>
              <w:rPr>
                <w:sz w:val="20"/>
              </w:rPr>
            </w:pPr>
            <w:r>
              <w:rPr>
                <w:sz w:val="20"/>
              </w:rPr>
              <w:t>3,414</w:t>
            </w:r>
          </w:p>
        </w:tc>
        <w:tc>
          <w:tcPr>
            <w:tcW w:w="1157" w:type="dxa"/>
            <w:tcBorders/>
            <w:shd w:fill="FFFFFF" w:val="clear"/>
            <w:vAlign w:val="center"/>
          </w:tcPr>
          <w:p>
            <w:pPr>
              <w:pStyle w:val="TableContents"/>
              <w:bidi w:val="0"/>
              <w:spacing w:before="0" w:after="283"/>
              <w:jc w:val="right"/>
              <w:rPr>
                <w:sz w:val="20"/>
              </w:rPr>
            </w:pPr>
            <w:r>
              <w:rPr>
                <w:sz w:val="20"/>
              </w:rPr>
              <w:t>21,092</w:t>
            </w:r>
          </w:p>
        </w:tc>
        <w:tc>
          <w:tcPr>
            <w:tcW w:w="862" w:type="dxa"/>
            <w:tcBorders/>
            <w:shd w:fill="FFFFFF" w:val="clear"/>
            <w:vAlign w:val="center"/>
          </w:tcPr>
          <w:p>
            <w:pPr>
              <w:pStyle w:val="TableContents"/>
              <w:bidi w:val="0"/>
              <w:spacing w:before="0" w:after="283"/>
              <w:jc w:val="right"/>
              <w:rPr>
                <w:sz w:val="20"/>
              </w:rPr>
            </w:pPr>
            <w:r>
              <w:rPr>
                <w:sz w:val="20"/>
              </w:rPr>
              <w:t>28,016</w:t>
            </w:r>
          </w:p>
        </w:tc>
      </w:tr>
      <w:tr>
        <w:trPr/>
        <w:tc>
          <w:tcPr>
            <w:tcW w:w="3575" w:type="dxa"/>
            <w:tcBorders/>
            <w:shd w:fill="D5EAEA" w:val="clear"/>
            <w:vAlign w:val="center"/>
          </w:tcPr>
          <w:p>
            <w:pPr>
              <w:pStyle w:val="TableContents"/>
              <w:bidi w:val="0"/>
              <w:spacing w:before="0" w:after="283"/>
              <w:jc w:val="left"/>
              <w:rPr>
                <w:sz w:val="20"/>
              </w:rPr>
            </w:pPr>
            <w:r>
              <w:rPr>
                <w:sz w:val="20"/>
              </w:rPr>
              <w:t>Loans (a)</w:t>
            </w:r>
          </w:p>
        </w:tc>
        <w:tc>
          <w:tcPr>
            <w:tcW w:w="1057"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6"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14"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11,443</w:t>
            </w:r>
          </w:p>
        </w:tc>
        <w:tc>
          <w:tcPr>
            <w:tcW w:w="1214"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57"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532,453</w:t>
            </w:r>
          </w:p>
        </w:tc>
        <w:tc>
          <w:tcPr>
            <w:tcW w:w="862"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543,896</w:t>
            </w:r>
          </w:p>
        </w:tc>
      </w:tr>
      <w:tr>
        <w:trPr/>
        <w:tc>
          <w:tcPr>
            <w:tcW w:w="3575" w:type="dxa"/>
            <w:tcBorders/>
            <w:shd w:fill="FFFFFF" w:val="clear"/>
            <w:vAlign w:val="center"/>
          </w:tcPr>
          <w:p>
            <w:pPr>
              <w:pStyle w:val="TableContents"/>
              <w:bidi w:val="0"/>
              <w:spacing w:before="0" w:after="283"/>
              <w:jc w:val="left"/>
              <w:rPr>
                <w:sz w:val="20"/>
              </w:rPr>
            </w:pPr>
            <w:r>
              <w:rPr>
                <w:sz w:val="20"/>
              </w:rPr>
              <w:t>Consideration payable on acquisition</w:t>
            </w:r>
          </w:p>
        </w:tc>
        <w:tc>
          <w:tcPr>
            <w:tcW w:w="10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47,215</w:t>
            </w:r>
          </w:p>
        </w:tc>
        <w:tc>
          <w:tcPr>
            <w:tcW w:w="11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296 </w:t>
            </w:r>
          </w:p>
        </w:tc>
        <w:tc>
          <w:tcPr>
            <w:tcW w:w="12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2,484</w:t>
            </w:r>
          </w:p>
        </w:tc>
        <w:tc>
          <w:tcPr>
            <w:tcW w:w="12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49,771</w:t>
            </w:r>
          </w:p>
        </w:tc>
        <w:tc>
          <w:tcPr>
            <w:tcW w:w="11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91,085</w:t>
            </w:r>
          </w:p>
        </w:tc>
        <w:tc>
          <w:tcPr>
            <w:tcW w:w="8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190,851</w:t>
            </w:r>
          </w:p>
        </w:tc>
      </w:tr>
      <w:tr>
        <w:trPr/>
        <w:tc>
          <w:tcPr>
            <w:tcW w:w="3575" w:type="dxa"/>
            <w:tcBorders/>
            <w:shd w:fill="D5EAEA"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Contingent consideration payable on acquisition</w:t>
            </w:r>
          </w:p>
        </w:tc>
        <w:tc>
          <w:tcPr>
            <w:tcW w:w="1057"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6"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14"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14"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57"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46,479</w:t>
            </w:r>
          </w:p>
        </w:tc>
        <w:tc>
          <w:tcPr>
            <w:tcW w:w="862"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46,479</w:t>
            </w:r>
          </w:p>
        </w:tc>
      </w:tr>
      <w:tr>
        <w:trPr/>
        <w:tc>
          <w:tcPr>
            <w:tcW w:w="3575" w:type="dxa"/>
            <w:tcBorders/>
            <w:shd w:fill="FFFFFF" w:val="clear"/>
            <w:vAlign w:val="center"/>
          </w:tcPr>
          <w:p>
            <w:pPr>
              <w:pStyle w:val="TableContents"/>
              <w:bidi w:val="0"/>
              <w:spacing w:before="0" w:after="283"/>
              <w:jc w:val="left"/>
              <w:rPr>
                <w:sz w:val="20"/>
              </w:rPr>
            </w:pPr>
            <w:r>
              <w:rPr>
                <w:sz w:val="20"/>
              </w:rPr>
              <w:t>Gross obligation under put option</w:t>
            </w:r>
          </w:p>
        </w:tc>
        <w:tc>
          <w:tcPr>
            <w:tcW w:w="10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6"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 xml:space="preserve">- </w:t>
            </w:r>
          </w:p>
        </w:tc>
        <w:tc>
          <w:tcPr>
            <w:tcW w:w="12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94,883</w:t>
            </w:r>
          </w:p>
        </w:tc>
        <w:tc>
          <w:tcPr>
            <w:tcW w:w="8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94,883</w:t>
            </w:r>
          </w:p>
        </w:tc>
      </w:tr>
      <w:tr>
        <w:trPr/>
        <w:tc>
          <w:tcPr>
            <w:tcW w:w="3575" w:type="dxa"/>
            <w:tcBorders/>
            <w:shd w:fill="D5EAEA" w:val="clear"/>
            <w:vAlign w:val="center"/>
          </w:tcPr>
          <w:p>
            <w:pPr>
              <w:pStyle w:val="TableContents"/>
              <w:bidi w:val="0"/>
              <w:spacing w:before="0" w:after="283"/>
              <w:jc w:val="left"/>
              <w:rPr>
                <w:sz w:val="20"/>
              </w:rPr>
            </w:pPr>
            <w:r>
              <w:rPr>
                <w:sz w:val="20"/>
              </w:rPr>
              <w:t>Financial liabilities – energy trading contracts (b)</w:t>
            </w:r>
          </w:p>
        </w:tc>
        <w:tc>
          <w:tcPr>
            <w:tcW w:w="1057"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23,707</w:t>
            </w:r>
          </w:p>
        </w:tc>
        <w:tc>
          <w:tcPr>
            <w:tcW w:w="1126"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16,090</w:t>
            </w:r>
          </w:p>
        </w:tc>
        <w:tc>
          <w:tcPr>
            <w:tcW w:w="1214"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17,950</w:t>
            </w:r>
          </w:p>
        </w:tc>
        <w:tc>
          <w:tcPr>
            <w:tcW w:w="1214"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13,867</w:t>
            </w:r>
          </w:p>
        </w:tc>
        <w:tc>
          <w:tcPr>
            <w:tcW w:w="1157"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34,048</w:t>
            </w:r>
          </w:p>
        </w:tc>
        <w:tc>
          <w:tcPr>
            <w:tcW w:w="862" w:type="dxa"/>
            <w:tcBorders/>
            <w:shd w:fill="D5EAEA"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105,662</w:t>
            </w:r>
          </w:p>
        </w:tc>
      </w:tr>
      <w:tr>
        <w:trPr/>
        <w:tc>
          <w:tcPr>
            <w:tcW w:w="3575" w:type="dxa"/>
            <w:tcBorders/>
            <w:shd w:fill="FFFFFF" w:val="clear"/>
            <w:vAlign w:val="center"/>
          </w:tcPr>
          <w:p>
            <w:pPr>
              <w:pStyle w:val="TableContents"/>
              <w:bidi w:val="0"/>
              <w:spacing w:before="0" w:after="283"/>
              <w:jc w:val="left"/>
              <w:rPr>
                <w:sz w:val="20"/>
              </w:rPr>
            </w:pPr>
            <w:r>
              <w:rPr>
                <w:sz w:val="20"/>
              </w:rPr>
              <w:t>Asset-backed payable (c)</w:t>
            </w:r>
          </w:p>
        </w:tc>
        <w:tc>
          <w:tcPr>
            <w:tcW w:w="1057" w:type="dxa"/>
            <w:tcBorders/>
            <w:shd w:fill="FFFFFF" w:val="clear"/>
            <w:vAlign w:val="center"/>
          </w:tcPr>
          <w:p>
            <w:pPr>
              <w:pStyle w:val="TableContents"/>
              <w:bidi w:val="0"/>
              <w:spacing w:before="0" w:after="283"/>
              <w:jc w:val="right"/>
              <w:rPr>
                <w:sz w:val="20"/>
              </w:rPr>
            </w:pPr>
            <w:r>
              <w:rPr>
                <w:sz w:val="20"/>
              </w:rPr>
              <w:t>-</w:t>
            </w:r>
          </w:p>
        </w:tc>
        <w:tc>
          <w:tcPr>
            <w:tcW w:w="1126" w:type="dxa"/>
            <w:tcBorders/>
            <w:shd w:fill="FFFFFF" w:val="clear"/>
            <w:vAlign w:val="center"/>
          </w:tcPr>
          <w:p>
            <w:pPr>
              <w:pStyle w:val="TableContents"/>
              <w:bidi w:val="0"/>
              <w:spacing w:before="0" w:after="283"/>
              <w:jc w:val="right"/>
              <w:rPr>
                <w:sz w:val="20"/>
              </w:rPr>
            </w:pPr>
            <w:r>
              <w:rPr>
                <w:sz w:val="20"/>
              </w:rPr>
              <w:t>-</w:t>
            </w:r>
          </w:p>
        </w:tc>
        <w:tc>
          <w:tcPr>
            <w:tcW w:w="1214" w:type="dxa"/>
            <w:tcBorders/>
            <w:shd w:fill="FFFFFF" w:val="clear"/>
            <w:vAlign w:val="center"/>
          </w:tcPr>
          <w:p>
            <w:pPr>
              <w:pStyle w:val="TableContents"/>
              <w:bidi w:val="0"/>
              <w:spacing w:before="0" w:after="283"/>
              <w:jc w:val="right"/>
              <w:rPr>
                <w:sz w:val="20"/>
              </w:rPr>
            </w:pPr>
            <w:r>
              <w:rPr>
                <w:sz w:val="20"/>
              </w:rPr>
              <w:t>-</w:t>
            </w:r>
          </w:p>
        </w:tc>
        <w:tc>
          <w:tcPr>
            <w:tcW w:w="1214" w:type="dxa"/>
            <w:tcBorders/>
            <w:shd w:fill="FFFFFF" w:val="clear"/>
            <w:vAlign w:val="center"/>
          </w:tcPr>
          <w:p>
            <w:pPr>
              <w:pStyle w:val="TableContents"/>
              <w:bidi w:val="0"/>
              <w:spacing w:before="0" w:after="283"/>
              <w:jc w:val="right"/>
              <w:rPr>
                <w:sz w:val="20"/>
              </w:rPr>
            </w:pPr>
            <w:r>
              <w:rPr>
                <w:sz w:val="20"/>
              </w:rPr>
              <w:t>-</w:t>
            </w:r>
          </w:p>
        </w:tc>
        <w:tc>
          <w:tcPr>
            <w:tcW w:w="1157" w:type="dxa"/>
            <w:tcBorders/>
            <w:shd w:fill="FFFFFF" w:val="clear"/>
            <w:vAlign w:val="center"/>
          </w:tcPr>
          <w:p>
            <w:pPr>
              <w:pStyle w:val="TableContents"/>
              <w:bidi w:val="0"/>
              <w:spacing w:before="0" w:after="283"/>
              <w:jc w:val="right"/>
              <w:rPr>
                <w:sz w:val="20"/>
              </w:rPr>
            </w:pPr>
            <w:r>
              <w:rPr>
                <w:sz w:val="20"/>
              </w:rPr>
              <w:t>75,000</w:t>
            </w:r>
          </w:p>
        </w:tc>
        <w:tc>
          <w:tcPr>
            <w:tcW w:w="862" w:type="dxa"/>
            <w:tcBorders/>
            <w:shd w:fill="FFFFFF" w:val="clear"/>
            <w:vAlign w:val="center"/>
          </w:tcPr>
          <w:p>
            <w:pPr>
              <w:pStyle w:val="TableContents"/>
              <w:bidi w:val="0"/>
              <w:spacing w:before="0" w:after="283"/>
              <w:jc w:val="right"/>
              <w:rPr>
                <w:sz w:val="20"/>
              </w:rPr>
            </w:pPr>
            <w:r>
              <w:rPr>
                <w:sz w:val="20"/>
              </w:rPr>
              <w:t>75,000</w:t>
            </w:r>
          </w:p>
        </w:tc>
      </w:tr>
      <w:tr>
        <w:trPr/>
        <w:tc>
          <w:tcPr>
            <w:tcW w:w="3575" w:type="dxa"/>
            <w:tcBorders/>
            <w:shd w:fill="D5EAEA" w:val="clear"/>
            <w:vAlign w:val="center"/>
          </w:tcPr>
          <w:p>
            <w:pPr>
              <w:pStyle w:val="TableContents"/>
              <w:bidi w:val="0"/>
              <w:spacing w:before="0" w:after="283"/>
              <w:jc w:val="left"/>
              <w:rPr>
                <w:sz w:val="20"/>
              </w:rPr>
            </w:pPr>
            <w:r>
              <w:rPr>
                <w:sz w:val="20"/>
              </w:rPr>
              <w:t>Client funds payable (d)</w:t>
            </w:r>
          </w:p>
        </w:tc>
        <w:tc>
          <w:tcPr>
            <w:tcW w:w="1057" w:type="dxa"/>
            <w:tcBorders/>
            <w:shd w:fill="D5EAEA" w:val="clear"/>
            <w:vAlign w:val="center"/>
          </w:tcPr>
          <w:p>
            <w:pPr>
              <w:pStyle w:val="TableContents"/>
              <w:bidi w:val="0"/>
              <w:spacing w:before="0" w:after="283"/>
              <w:jc w:val="right"/>
              <w:rPr>
                <w:sz w:val="20"/>
              </w:rPr>
            </w:pPr>
            <w:r>
              <w:rPr>
                <w:sz w:val="20"/>
              </w:rPr>
              <w:t>24,914</w:t>
            </w:r>
          </w:p>
        </w:tc>
        <w:tc>
          <w:tcPr>
            <w:tcW w:w="1126" w:type="dxa"/>
            <w:tcBorders/>
            <w:shd w:fill="D5EAEA" w:val="clear"/>
            <w:vAlign w:val="center"/>
          </w:tcPr>
          <w:p>
            <w:pPr>
              <w:pStyle w:val="TableContents"/>
              <w:bidi w:val="0"/>
              <w:spacing w:before="0" w:after="283"/>
              <w:jc w:val="right"/>
              <w:rPr>
                <w:sz w:val="20"/>
              </w:rPr>
            </w:pPr>
            <w:r>
              <w:rPr>
                <w:sz w:val="20"/>
              </w:rPr>
              <w:t>-</w:t>
            </w:r>
          </w:p>
        </w:tc>
        <w:tc>
          <w:tcPr>
            <w:tcW w:w="1214" w:type="dxa"/>
            <w:tcBorders/>
            <w:shd w:fill="D5EAEA" w:val="clear"/>
            <w:vAlign w:val="center"/>
          </w:tcPr>
          <w:p>
            <w:pPr>
              <w:pStyle w:val="TableContents"/>
              <w:bidi w:val="0"/>
              <w:spacing w:before="0" w:after="283"/>
              <w:jc w:val="right"/>
              <w:rPr>
                <w:sz w:val="20"/>
              </w:rPr>
            </w:pPr>
            <w:r>
              <w:rPr>
                <w:sz w:val="20"/>
              </w:rPr>
              <w:t>-</w:t>
            </w:r>
          </w:p>
        </w:tc>
        <w:tc>
          <w:tcPr>
            <w:tcW w:w="1214" w:type="dxa"/>
            <w:tcBorders/>
            <w:shd w:fill="D5EAEA" w:val="clear"/>
            <w:vAlign w:val="center"/>
          </w:tcPr>
          <w:p>
            <w:pPr>
              <w:pStyle w:val="TableContents"/>
              <w:bidi w:val="0"/>
              <w:spacing w:before="0" w:after="283"/>
              <w:jc w:val="right"/>
              <w:rPr>
                <w:sz w:val="20"/>
              </w:rPr>
            </w:pPr>
            <w:r>
              <w:rPr>
                <w:sz w:val="20"/>
              </w:rPr>
              <w:t>-</w:t>
            </w:r>
          </w:p>
        </w:tc>
        <w:tc>
          <w:tcPr>
            <w:tcW w:w="1157" w:type="dxa"/>
            <w:tcBorders/>
            <w:shd w:fill="D5EAEA" w:val="clear"/>
            <w:vAlign w:val="center"/>
          </w:tcPr>
          <w:p>
            <w:pPr>
              <w:pStyle w:val="TableContents"/>
              <w:bidi w:val="0"/>
              <w:spacing w:before="0" w:after="283"/>
              <w:jc w:val="right"/>
              <w:rPr>
                <w:sz w:val="20"/>
              </w:rPr>
            </w:pPr>
            <w:r>
              <w:rPr>
                <w:sz w:val="20"/>
              </w:rPr>
              <w:t>-</w:t>
            </w:r>
          </w:p>
        </w:tc>
        <w:tc>
          <w:tcPr>
            <w:tcW w:w="862" w:type="dxa"/>
            <w:tcBorders/>
            <w:shd w:fill="D5EAEA" w:val="clear"/>
            <w:vAlign w:val="center"/>
          </w:tcPr>
          <w:p>
            <w:pPr>
              <w:pStyle w:val="TableContents"/>
              <w:bidi w:val="0"/>
              <w:spacing w:before="0" w:after="283"/>
              <w:jc w:val="right"/>
              <w:rPr>
                <w:sz w:val="20"/>
              </w:rPr>
            </w:pPr>
            <w:r>
              <w:rPr>
                <w:sz w:val="20"/>
              </w:rPr>
              <w:t>24,914</w:t>
            </w:r>
          </w:p>
        </w:tc>
      </w:tr>
      <w:tr>
        <w:trPr/>
        <w:tc>
          <w:tcPr>
            <w:tcW w:w="3575" w:type="dxa"/>
            <w:tcBorders/>
            <w:shd w:fill="FFFFFF" w:val="clear"/>
            <w:vAlign w:val="center"/>
          </w:tcPr>
          <w:p>
            <w:pPr>
              <w:pStyle w:val="TableContents"/>
              <w:bidi w:val="0"/>
              <w:spacing w:before="0" w:after="283"/>
              <w:jc w:val="left"/>
              <w:rPr>
                <w:b/>
                <w:sz w:val="20"/>
              </w:rPr>
            </w:pPr>
            <w:r>
              <w:rPr>
                <w:b/>
                <w:sz w:val="20"/>
              </w:rPr>
              <w:t>Total</w:t>
            </w:r>
          </w:p>
        </w:tc>
        <w:tc>
          <w:tcPr>
            <w:tcW w:w="105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264,504</w:t>
            </w:r>
          </w:p>
        </w:tc>
        <w:tc>
          <w:tcPr>
            <w:tcW w:w="11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17,556</w:t>
            </w:r>
          </w:p>
        </w:tc>
        <w:tc>
          <w:tcPr>
            <w:tcW w:w="121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33,080</w:t>
            </w:r>
          </w:p>
        </w:tc>
        <w:tc>
          <w:tcPr>
            <w:tcW w:w="121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67,052</w:t>
            </w:r>
          </w:p>
        </w:tc>
        <w:tc>
          <w:tcPr>
            <w:tcW w:w="115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895,040</w:t>
            </w:r>
          </w:p>
        </w:tc>
        <w:tc>
          <w:tcPr>
            <w:tcW w:w="86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b/>
                <w:sz w:val="20"/>
              </w:rPr>
            </w:pPr>
            <w:r>
              <w:rPr>
                <w:b/>
                <w:sz w:val="20"/>
              </w:rPr>
              <w:t>1,277,232</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Principal values are expected to be settled on maturity – refer to note 16 for maturity dates of loans with financial institutions.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left"/>
              <w:rPr/>
            </w:pPr>
            <w:r>
              <w:rPr/>
              <w:t>The Company has an equivalent of US$132.9 million in energy trading financial assets which decreases the Company's liquidity risk on settlement date – refer to note 12(c) for the aging of financial assets and liabilities on energy trading.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73"/>
        <w:gridCol w:w="9781"/>
      </w:tblGrid>
      <w:tr>
        <w:trPr/>
        <w:tc>
          <w:tcPr>
            <w:tcW w:w="5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(c)</w:t>
            </w:r>
          </w:p>
        </w:tc>
        <w:tc>
          <w:tcPr>
            <w:tcW w:w="9781" w:type="dxa"/>
            <w:tcBorders/>
            <w:vAlign w:val="center"/>
          </w:tcPr>
          <w:p>
            <w:pPr>
              <w:pStyle w:val="TableContents"/>
              <w:bidi w:val="0"/>
              <w:spacing w:before="0" w:after="283"/>
              <w:jc w:val="both"/>
              <w:rPr/>
            </w:pPr>
            <w:r>
              <w:rPr/>
              <w:t>To be settled with funds receivable from PBPE Fund IV - refer to note 8(b).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96"/>
        <w:gridCol w:w="9758"/>
      </w:tblGrid>
      <w:tr>
        <w:trPr/>
        <w:tc>
          <w:tcPr>
            <w:tcW w:w="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(d)</w:t>
            </w:r>
          </w:p>
        </w:tc>
        <w:tc>
          <w:tcPr>
            <w:tcW w:w="9758" w:type="dxa"/>
            <w:tcBorders/>
            <w:vAlign w:val="center"/>
          </w:tcPr>
          <w:p>
            <w:pPr>
              <w:pStyle w:val="TableContents"/>
              <w:bidi w:val="0"/>
              <w:spacing w:before="0" w:after="283"/>
              <w:jc w:val="both"/>
              <w:rPr/>
            </w:pPr>
            <w:r>
              <w:rPr/>
              <w:t>Settled with proceeds held in Client funds on deposit account - refer note 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1878"/>
        <w:gridCol w:w="8053"/>
      </w:tblGrid>
      <w:tr>
        <w:trPr/>
        <w:tc>
          <w:tcPr>
            <w:tcW w:w="27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i/>
              </w:rPr>
            </w:pPr>
            <w:r>
              <w:rPr>
                <w:i/>
              </w:rPr>
              <w:t>iii.</w:t>
            </w:r>
          </w:p>
        </w:tc>
        <w:tc>
          <w:tcPr>
            <w:tcW w:w="8053" w:type="dxa"/>
            <w:tcBorders/>
            <w:vAlign w:val="center"/>
          </w:tcPr>
          <w:p>
            <w:pPr>
              <w:pStyle w:val="TableContents"/>
              <w:bidi w:val="0"/>
              <w:spacing w:before="0" w:after="283"/>
              <w:jc w:val="both"/>
              <w:rPr>
                <w:i/>
              </w:rPr>
            </w:pPr>
            <w:r>
              <w:rPr>
                <w:i/>
              </w:rPr>
              <w:t>Market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defined as the risk that the fair value or future cash flows of a financial instrument will fluctuate because of changes in market prices. The Company is exposed to the following market risk:</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649"/>
        <w:gridCol w:w="9360"/>
      </w:tblGrid>
      <w:tr>
        <w:trPr/>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rFonts w:ascii="Symbol" w:hAnsi="Symbol"/>
              </w:rPr>
            </w:pPr>
            <w:r>
              <w:rPr>
                <w:rFonts w:ascii="Symbol" w:hAnsi="Symbol"/>
              </w:rPr>
              <w:t>·</w:t>
            </w:r>
          </w:p>
        </w:tc>
        <w:tc>
          <w:tcPr>
            <w:tcW w:w="9360" w:type="dxa"/>
            <w:tcBorders/>
            <w:vAlign w:val="center"/>
          </w:tcPr>
          <w:p>
            <w:pPr>
              <w:pStyle w:val="TableContents"/>
              <w:bidi w:val="0"/>
              <w:spacing w:before="0" w:after="283"/>
              <w:jc w:val="both"/>
              <w:rPr/>
            </w:pPr>
            <w:r>
              <w:rPr/>
              <w:t>Security price risk,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551"/>
        <w:gridCol w:w="9487"/>
      </w:tblGrid>
      <w:tr>
        <w:trPr/>
        <w:tc>
          <w:tcPr>
            <w:tcW w:w="16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rFonts w:ascii="Symbol" w:hAnsi="Symbol"/>
              </w:rPr>
            </w:pPr>
            <w:r>
              <w:rPr>
                <w:rFonts w:ascii="Symbol" w:hAnsi="Symbol"/>
              </w:rPr>
              <w:t>·</w:t>
            </w:r>
          </w:p>
        </w:tc>
        <w:tc>
          <w:tcPr>
            <w:tcW w:w="9487" w:type="dxa"/>
            <w:tcBorders/>
            <w:vAlign w:val="center"/>
          </w:tcPr>
          <w:p>
            <w:pPr>
              <w:pStyle w:val="TableContents"/>
              <w:bidi w:val="0"/>
              <w:spacing w:before="0" w:after="283"/>
              <w:jc w:val="both"/>
              <w:rPr/>
            </w:pPr>
            <w:r>
              <w:rPr/>
              <w:t>Commodity price risk,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589"/>
        <w:gridCol w:w="9437"/>
      </w:tblGrid>
      <w:tr>
        <w:trPr/>
        <w:tc>
          <w:tcPr>
            <w:tcW w:w="1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rFonts w:ascii="Symbol" w:hAnsi="Symbol"/>
              </w:rPr>
            </w:pPr>
            <w:r>
              <w:rPr>
                <w:rFonts w:ascii="Symbol" w:hAnsi="Symbol"/>
              </w:rPr>
              <w:t>·</w:t>
            </w:r>
          </w:p>
        </w:tc>
        <w:tc>
          <w:tcPr>
            <w:tcW w:w="9437" w:type="dxa"/>
            <w:tcBorders/>
            <w:vAlign w:val="center"/>
          </w:tcPr>
          <w:p>
            <w:pPr>
              <w:pStyle w:val="TableContents"/>
              <w:bidi w:val="0"/>
              <w:spacing w:before="0" w:after="283"/>
              <w:jc w:val="both"/>
              <w:rPr/>
            </w:pPr>
            <w:r>
              <w:rPr/>
              <w:t>Interest rate risk,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555"/>
        <w:gridCol w:w="9482"/>
      </w:tblGrid>
      <w:tr>
        <w:trPr/>
        <w:tc>
          <w:tcPr>
            <w:tcW w:w="16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rFonts w:ascii="Symbol" w:hAnsi="Symbol"/>
              </w:rPr>
            </w:pPr>
            <w:r>
              <w:rPr>
                <w:rFonts w:ascii="Symbol" w:hAnsi="Symbol"/>
              </w:rPr>
              <w:t>·</w:t>
            </w:r>
          </w:p>
        </w:tc>
        <w:tc>
          <w:tcPr>
            <w:tcW w:w="9482" w:type="dxa"/>
            <w:tcBorders/>
            <w:vAlign w:val="center"/>
          </w:tcPr>
          <w:p>
            <w:pPr>
              <w:pStyle w:val="TableContents"/>
              <w:bidi w:val="0"/>
              <w:spacing w:before="0" w:after="283"/>
              <w:jc w:val="both"/>
              <w:rPr/>
            </w:pPr>
            <w:r>
              <w:rPr/>
              <w:t>Foreign exchange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minimize its exposure to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Security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 made by the Company represent investments in investment fund products where fair value is derived from the reported Net Asset Values (“NAV”) for each investment fund, which in turn are based upon the value of the underlying assets held within each of the investment fund products and the anticipated redemption horizon of the investment fund product. Investment fund products expose the Company to market risk and therefore this process is subject to limits consistent with the Company’s risk appetite. To manage its price risk arising from investments in securities, the Company diversifies its portfolio. Diversification of the portfolio is done in accordance with the limits set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 (December 31, 2025: 10%) increase in the price of Level 2 Long-term investments, with other variables held constant, would have increased the net profit before tax by US$5.1 million (December 31, 2025: US$ 4.3 million). A 10% decrease in the price will have an equal but opposite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 total return swap is linked to the fluctuation in PAX share price and a 10% increase in the share price would increase the net income before income tax by US$3.3 million. A 10% decrease in the price will have an equal but opposite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Commodity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trades energy contracts in Brazil as disclosed in note 12(c). Commodity price risk exists as the Company is exposed to unexpected changes in energy prices due to extraordinary events. The risk is managed by controlling exposure to price fluctuations within acceptable parameters while optimizing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net financial asset position in energy contracts of US$27.2 million - refer to note 12(c). A 10% fluctuation in current energy prices in Brazil will result in a US$2.7 million change in the Company’s net financial asset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risk results from a possible change in foreign exchange rates that would affect the finance income or expenses, and the assets or liability balances of contracts indexed to a foreign currency. The Company measures its foreign exchange exposure by subtracting its non-US dollar currencies liabilities from its respective denominated assets, thus obtaining its net foreign exchange exposure and the amount affected by exchange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Sensitivity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Company</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 xml:space="preserve">has loans with leading financial institutions as summarized in note 16. The financial institutions charge interest at SOFR plus a fixed premium. An interest rate risk exists due to possible unexpected changes in the SOFR rate.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analyses have been determined based on the exposure for floating rate payable at the reporting date.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950" w:type="dxa"/>
        <w:jc w:val="center"/>
        <w:tblInd w:w="0" w:type="dxa"/>
        <w:tblLayout w:type="fixed"/>
        <w:tblCellMar>
          <w:top w:w="0" w:type="dxa"/>
          <w:left w:w="0" w:type="dxa"/>
          <w:bottom w:w="28" w:type="dxa"/>
          <w:right w:w="0" w:type="dxa"/>
        </w:tblCellMar>
      </w:tblPr>
      <w:tblGrid>
        <w:gridCol w:w="3410"/>
        <w:gridCol w:w="1550"/>
        <w:gridCol w:w="2480"/>
        <w:gridCol w:w="2510"/>
      </w:tblGrid>
      <w:tr>
        <w:trPr/>
        <w:tc>
          <w:tcPr>
            <w:tcW w:w="3410" w:type="dxa"/>
            <w:tcBorders>
              <w:bottom w:val="single" w:sz="8" w:space="0" w:color="7F7F7F"/>
            </w:tcBorders>
            <w:shd w:fill="FFFFFF" w:val="clear"/>
            <w:vAlign w:val="center"/>
          </w:tcPr>
          <w:p>
            <w:pPr>
              <w:pStyle w:val="TableContents"/>
              <w:bidi w:val="0"/>
              <w:spacing w:before="0" w:after="283"/>
              <w:jc w:val="right"/>
              <w:rPr/>
            </w:pPr>
            <w:r>
              <w:rPr/>
              <w:t> </w:t>
            </w:r>
          </w:p>
        </w:tc>
        <w:tc>
          <w:tcPr>
            <w:tcW w:w="155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risk Position*</w:t>
            </w:r>
            <w:r>
              <w:rPr>
                <w:rFonts w:ascii="Times New Roman;Times;Serif" w:hAnsi="Times New Roman;Times;Serif"/>
                <w:b w:val="false"/>
                <w:i w:val="false"/>
                <w:caps w:val="false"/>
                <w:smallCaps w:val="false"/>
                <w:sz w:val="20"/>
              </w:rPr>
              <w:t> </w:t>
            </w:r>
          </w:p>
        </w:tc>
        <w:tc>
          <w:tcPr>
            <w:tcW w:w="2480" w:type="dxa"/>
            <w:tcBorders>
              <w:bottom w:val="single" w:sz="8" w:space="0" w:color="000000"/>
            </w:tcBorders>
            <w:shd w:fill="FFFFFF" w:val="clear"/>
            <w:vAlign w:val="center"/>
          </w:tcPr>
          <w:p>
            <w:pPr>
              <w:pStyle w:val="TableContents"/>
              <w:bidi w:val="0"/>
              <w:spacing w:before="0" w:after="283"/>
              <w:jc w:val="center"/>
              <w:rPr>
                <w:b/>
                <w:i/>
                <w:sz w:val="20"/>
              </w:rPr>
            </w:pPr>
            <w:r>
              <w:rPr>
                <w:b/>
                <w:i/>
                <w:sz w:val="20"/>
              </w:rPr>
              <w:t>Sensitivity to 100bps Increase</w:t>
            </w:r>
          </w:p>
        </w:tc>
        <w:tc>
          <w:tcPr>
            <w:tcW w:w="2510" w:type="dxa"/>
            <w:tcBorders>
              <w:bottom w:val="single" w:sz="8" w:space="0" w:color="000000"/>
            </w:tcBorders>
            <w:shd w:fill="FFFFFF" w:val="clear"/>
            <w:vAlign w:val="center"/>
          </w:tcPr>
          <w:p>
            <w:pPr>
              <w:pStyle w:val="TableContents"/>
              <w:bidi w:val="0"/>
              <w:spacing w:before="0" w:after="283"/>
              <w:jc w:val="center"/>
              <w:rPr>
                <w:b/>
                <w:i/>
                <w:sz w:val="20"/>
              </w:rPr>
            </w:pPr>
            <w:r>
              <w:rPr>
                <w:b/>
                <w:i/>
                <w:sz w:val="20"/>
              </w:rPr>
              <w:t>Sensitivity to 100bps decrease</w:t>
            </w:r>
          </w:p>
        </w:tc>
      </w:tr>
      <w:tr>
        <w:trPr/>
        <w:tc>
          <w:tcPr>
            <w:tcW w:w="3410" w:type="dxa"/>
            <w:tcBorders>
              <w:right w:val="single" w:sz="8" w:space="0" w:color="7F7F7F"/>
            </w:tcBorders>
            <w:shd w:fill="D5EAEA" w:val="clear"/>
            <w:tcMar>
              <w:bottom w:w="0" w:type="dxa"/>
              <w:right w:w="28" w:type="dxa"/>
            </w:tcMar>
            <w:vAlign w:val="center"/>
          </w:tcPr>
          <w:p>
            <w:pPr>
              <w:pStyle w:val="TableContents"/>
              <w:bidi w:val="0"/>
              <w:spacing w:before="0" w:after="283"/>
              <w:jc w:val="left"/>
              <w:rPr>
                <w:i/>
                <w:sz w:val="20"/>
              </w:rPr>
            </w:pPr>
            <w:r>
              <w:rPr>
                <w:i/>
                <w:sz w:val="20"/>
              </w:rPr>
              <w:t xml:space="preserve">Sensitivity of net profit or loss before tax </w:t>
            </w:r>
          </w:p>
        </w:tc>
        <w:tc>
          <w:tcPr>
            <w:tcW w:w="1550" w:type="dxa"/>
            <w:tcBorders/>
            <w:shd w:fill="D5EAEA" w:val="clear"/>
            <w:tcMar>
              <w:bottom w:w="0" w:type="dxa"/>
            </w:tcMar>
            <w:vAlign w:val="center"/>
          </w:tcPr>
          <w:p>
            <w:pPr>
              <w:pStyle w:val="TableContents"/>
              <w:bidi w:val="0"/>
              <w:spacing w:before="0" w:after="283"/>
              <w:jc w:val="center"/>
              <w:rPr>
                <w:sz w:val="20"/>
              </w:rPr>
            </w:pPr>
            <w:r>
              <w:rPr>
                <w:sz w:val="20"/>
              </w:rPr>
              <w:t>8,488</w:t>
            </w:r>
          </w:p>
        </w:tc>
        <w:tc>
          <w:tcPr>
            <w:tcW w:w="2480" w:type="dxa"/>
            <w:tcBorders/>
            <w:shd w:fill="D5EAEA" w:val="clear"/>
            <w:tcMar>
              <w:bottom w:w="0" w:type="dxa"/>
            </w:tcMar>
            <w:vAlign w:val="center"/>
          </w:tcPr>
          <w:p>
            <w:pPr>
              <w:pStyle w:val="TableContents"/>
              <w:bidi w:val="0"/>
              <w:spacing w:before="0" w:after="283"/>
              <w:jc w:val="center"/>
              <w:rPr>
                <w:sz w:val="20"/>
              </w:rPr>
            </w:pPr>
            <w:r>
              <w:rPr>
                <w:sz w:val="20"/>
              </w:rPr>
              <w:t xml:space="preserve">(1,293) </w:t>
            </w:r>
          </w:p>
        </w:tc>
        <w:tc>
          <w:tcPr>
            <w:tcW w:w="2510" w:type="dxa"/>
            <w:tcBorders/>
            <w:shd w:fill="D5EAEA" w:val="clear"/>
            <w:tcMar>
              <w:bottom w:w="0" w:type="dxa"/>
            </w:tcMar>
            <w:vAlign w:val="center"/>
          </w:tcPr>
          <w:p>
            <w:pPr>
              <w:pStyle w:val="TableContents"/>
              <w:bidi w:val="0"/>
              <w:spacing w:before="0" w:after="283"/>
              <w:jc w:val="center"/>
              <w:rPr>
                <w:sz w:val="20"/>
              </w:rPr>
            </w:pPr>
            <w:r>
              <w:rPr>
                <w:sz w:val="20"/>
              </w:rPr>
              <w:t>1,293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net risk position represents the interest expense for the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Foreign exchange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is based on financial assets and financial liabilities exposed to currency fluctuations against the US dollar, as demonstrated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7"/>
        <w:gridCol w:w="782"/>
        <w:gridCol w:w="659"/>
        <w:gridCol w:w="704"/>
        <w:gridCol w:w="686"/>
        <w:gridCol w:w="679"/>
        <w:gridCol w:w="698"/>
        <w:gridCol w:w="3490"/>
      </w:tblGrid>
      <w:tr>
        <w:trPr/>
        <w:tc>
          <w:tcPr>
            <w:tcW w:w="3948" w:type="dxa"/>
            <w:gridSpan w:val="3"/>
            <w:tcBorders/>
            <w:vAlign w:val="center"/>
          </w:tcPr>
          <w:p>
            <w:pPr>
              <w:pStyle w:val="TableContents"/>
              <w:bidi w:val="0"/>
              <w:spacing w:before="0" w:after="283"/>
              <w:jc w:val="left"/>
              <w:rPr>
                <w:b/>
                <w:sz w:val="20"/>
              </w:rPr>
            </w:pPr>
            <w:r>
              <w:rPr>
                <w:b/>
                <w:sz w:val="20"/>
              </w:rPr>
              <w:t xml:space="preserve">As of June 30, 2026: </w:t>
            </w:r>
          </w:p>
        </w:tc>
        <w:tc>
          <w:tcPr>
            <w:tcW w:w="70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3490" w:type="dxa"/>
            <w:tcBorders/>
            <w:vAlign w:val="center"/>
          </w:tcPr>
          <w:p>
            <w:pPr>
              <w:pStyle w:val="TableContents"/>
              <w:bidi w:val="0"/>
              <w:spacing w:before="0" w:after="283"/>
              <w:jc w:val="left"/>
              <w:rPr/>
            </w:pPr>
            <w:r>
              <w:rPr/>
              <w:t> </w:t>
            </w:r>
          </w:p>
        </w:tc>
      </w:tr>
      <w:tr>
        <w:trPr/>
        <w:tc>
          <w:tcPr>
            <w:tcW w:w="2507" w:type="dxa"/>
            <w:tcBorders/>
            <w:vAlign w:val="center"/>
          </w:tcPr>
          <w:p>
            <w:pPr>
              <w:pStyle w:val="TableContents"/>
              <w:bidi w:val="0"/>
              <w:spacing w:before="0" w:after="283"/>
              <w:jc w:val="left"/>
              <w:rPr/>
            </w:pPr>
            <w:r>
              <w:rPr/>
              <w:t> </w:t>
            </w:r>
          </w:p>
        </w:tc>
        <w:tc>
          <w:tcPr>
            <w:tcW w:w="3510" w:type="dxa"/>
            <w:gridSpan w:val="5"/>
            <w:tcBorders/>
            <w:vAlign w:val="center"/>
          </w:tcPr>
          <w:p>
            <w:pPr>
              <w:pStyle w:val="TableContents"/>
              <w:bidi w:val="0"/>
              <w:spacing w:before="0" w:after="283"/>
              <w:jc w:val="center"/>
              <w:rPr/>
            </w:pPr>
            <w:r>
              <w:rPr/>
              <w:t> </w:t>
            </w:r>
            <w:r>
              <w:rPr>
                <w:b/>
                <w:sz w:val="20"/>
              </w:rPr>
              <w:t xml:space="preserve">Balance in each exposure currency </w:t>
            </w:r>
          </w:p>
        </w:tc>
        <w:tc>
          <w:tcPr>
            <w:tcW w:w="698" w:type="dxa"/>
            <w:tcBorders/>
            <w:vAlign w:val="center"/>
          </w:tcPr>
          <w:p>
            <w:pPr>
              <w:pStyle w:val="TableContents"/>
              <w:bidi w:val="0"/>
              <w:spacing w:before="0" w:after="283"/>
              <w:jc w:val="left"/>
              <w:rPr/>
            </w:pPr>
            <w:r>
              <w:rPr/>
              <w:t> </w:t>
            </w:r>
          </w:p>
        </w:tc>
        <w:tc>
          <w:tcPr>
            <w:tcW w:w="3490" w:type="dxa"/>
            <w:vMerge w:val="restart"/>
            <w:tcBorders>
              <w:bottom w:val="single" w:sz="8" w:space="0" w:color="000000"/>
            </w:tcBorders>
            <w:tcMar>
              <w:bottom w:w="28" w:type="dxa"/>
            </w:tcMar>
            <w:vAlign w:val="center"/>
          </w:tcPr>
          <w:p>
            <w:pPr>
              <w:pStyle w:val="TableContents"/>
              <w:bidi w:val="0"/>
              <w:spacing w:before="0" w:after="283"/>
              <w:jc w:val="center"/>
              <w:rPr/>
            </w:pPr>
            <w:r>
              <w:rPr/>
              <w:t> </w:t>
            </w:r>
            <w:r>
              <w:rPr>
                <w:b/>
                <w:sz w:val="20"/>
              </w:rPr>
              <w:t xml:space="preserve">Exchange Variation impact considering 10% decline in the year end rates. </w:t>
            </w:r>
          </w:p>
        </w:tc>
      </w:tr>
      <w:tr>
        <w:trPr/>
        <w:tc>
          <w:tcPr>
            <w:tcW w:w="2507" w:type="dxa"/>
            <w:tcBorders>
              <w:bottom w:val="single" w:sz="8" w:space="0" w:color="000000"/>
            </w:tcBorders>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tcMar>
              <w:bottom w:w="28" w:type="dxa"/>
            </w:tcMar>
            <w:vAlign w:val="center"/>
          </w:tcPr>
          <w:p>
            <w:pPr>
              <w:pStyle w:val="TableContents"/>
              <w:bidi w:val="0"/>
              <w:spacing w:before="0" w:after="283"/>
              <w:jc w:val="center"/>
              <w:rPr/>
            </w:pPr>
            <w:r>
              <w:rPr/>
              <w:t> </w:t>
            </w:r>
            <w:r>
              <w:rPr>
                <w:b/>
                <w:sz w:val="20"/>
              </w:rPr>
              <w:t xml:space="preserve">BRL(a) </w:t>
            </w:r>
          </w:p>
        </w:tc>
        <w:tc>
          <w:tcPr>
            <w:tcW w:w="659" w:type="dxa"/>
            <w:tcBorders>
              <w:bottom w:val="single" w:sz="8" w:space="0" w:color="000000"/>
            </w:tcBorders>
            <w:tcMar>
              <w:bottom w:w="28" w:type="dxa"/>
            </w:tcMar>
            <w:vAlign w:val="center"/>
          </w:tcPr>
          <w:p>
            <w:pPr>
              <w:pStyle w:val="TableContents"/>
              <w:bidi w:val="0"/>
              <w:spacing w:before="0" w:after="283"/>
              <w:jc w:val="center"/>
              <w:rPr/>
            </w:pPr>
            <w:r>
              <w:rPr/>
              <w:t> </w:t>
            </w:r>
            <w:r>
              <w:rPr>
                <w:b/>
                <w:sz w:val="20"/>
              </w:rPr>
              <w:t xml:space="preserve">HKD (b) </w:t>
            </w:r>
          </w:p>
        </w:tc>
        <w:tc>
          <w:tcPr>
            <w:tcW w:w="704" w:type="dxa"/>
            <w:tcBorders>
              <w:bottom w:val="single" w:sz="8" w:space="0" w:color="000000"/>
            </w:tcBorders>
            <w:tcMar>
              <w:bottom w:w="28" w:type="dxa"/>
            </w:tcMar>
            <w:vAlign w:val="center"/>
          </w:tcPr>
          <w:p>
            <w:pPr>
              <w:pStyle w:val="TableContents"/>
              <w:bidi w:val="0"/>
              <w:spacing w:before="0" w:after="283"/>
              <w:jc w:val="center"/>
              <w:rPr/>
            </w:pPr>
            <w:r>
              <w:rPr/>
              <w:t> </w:t>
            </w:r>
            <w:r>
              <w:rPr>
                <w:b/>
                <w:sz w:val="20"/>
              </w:rPr>
              <w:t xml:space="preserve">CLP (c) </w:t>
            </w:r>
          </w:p>
        </w:tc>
        <w:tc>
          <w:tcPr>
            <w:tcW w:w="686" w:type="dxa"/>
            <w:tcBorders>
              <w:bottom w:val="single" w:sz="8" w:space="0" w:color="000000"/>
            </w:tcBorders>
            <w:tcMar>
              <w:bottom w:w="28" w:type="dxa"/>
            </w:tcMar>
            <w:vAlign w:val="center"/>
          </w:tcPr>
          <w:p>
            <w:pPr>
              <w:pStyle w:val="TableContents"/>
              <w:bidi w:val="0"/>
              <w:spacing w:before="0" w:after="283"/>
              <w:jc w:val="center"/>
              <w:rPr/>
            </w:pPr>
            <w:r>
              <w:rPr/>
              <w:t> </w:t>
            </w:r>
            <w:r>
              <w:rPr>
                <w:b/>
                <w:sz w:val="20"/>
              </w:rPr>
              <w:t xml:space="preserve">COP (d) </w:t>
            </w:r>
          </w:p>
        </w:tc>
        <w:tc>
          <w:tcPr>
            <w:tcW w:w="679" w:type="dxa"/>
            <w:tcBorders>
              <w:bottom w:val="single" w:sz="8" w:space="0" w:color="000000"/>
            </w:tcBorders>
            <w:tcMar>
              <w:bottom w:w="28" w:type="dxa"/>
            </w:tcMar>
            <w:vAlign w:val="center"/>
          </w:tcPr>
          <w:p>
            <w:pPr>
              <w:pStyle w:val="TableContents"/>
              <w:bidi w:val="0"/>
              <w:spacing w:before="0" w:after="283"/>
              <w:jc w:val="center"/>
              <w:rPr/>
            </w:pPr>
            <w:r>
              <w:rPr/>
              <w:t> </w:t>
            </w:r>
            <w:r>
              <w:rPr>
                <w:b/>
                <w:sz w:val="20"/>
              </w:rPr>
              <w:t xml:space="preserve">GBP (e) </w:t>
            </w:r>
          </w:p>
        </w:tc>
        <w:tc>
          <w:tcPr>
            <w:tcW w:w="698" w:type="dxa"/>
            <w:tcBorders>
              <w:bottom w:val="single" w:sz="8" w:space="0" w:color="000000"/>
            </w:tcBorders>
            <w:tcMar>
              <w:bottom w:w="28" w:type="dxa"/>
            </w:tcMar>
            <w:vAlign w:val="center"/>
          </w:tcPr>
          <w:p>
            <w:pPr>
              <w:pStyle w:val="TableContents"/>
              <w:bidi w:val="0"/>
              <w:spacing w:before="0" w:after="283"/>
              <w:jc w:val="center"/>
              <w:rPr/>
            </w:pPr>
            <w:r>
              <w:rPr/>
              <w:t> </w:t>
            </w:r>
            <w:r>
              <w:rPr>
                <w:b/>
                <w:sz w:val="20"/>
              </w:rPr>
              <w:t xml:space="preserve">Other (f) </w:t>
            </w:r>
          </w:p>
        </w:tc>
        <w:tc>
          <w:tcPr>
            <w:tcW w:w="3490" w:type="dxa"/>
            <w:vMerge w:val="continue"/>
            <w:tcBorders>
              <w:bottom w:val="single" w:sz="8" w:space="0" w:color="000000"/>
            </w:tcBorders>
            <w:tcMar>
              <w:bottom w:w="28" w:type="dxa"/>
            </w:tcMar>
            <w:vAlign w:val="center"/>
          </w:tcPr>
          <w:p>
            <w:pPr>
              <w:pStyle w:val="Normal"/>
              <w:bidi w:val="0"/>
              <w:jc w:val="left"/>
              <w:rPr/>
            </w:pPr>
            <w:r>
              <w:rPr/>
            </w:r>
          </w:p>
        </w:tc>
      </w:tr>
      <w:tr>
        <w:trPr/>
        <w:tc>
          <w:tcPr>
            <w:tcW w:w="2507" w:type="dxa"/>
            <w:tcBorders/>
            <w:shd w:fill="D5EAEA" w:val="clear"/>
            <w:vAlign w:val="center"/>
          </w:tcPr>
          <w:p>
            <w:pPr>
              <w:pStyle w:val="TableContents"/>
              <w:bidi w:val="0"/>
              <w:spacing w:before="0" w:after="283"/>
              <w:jc w:val="left"/>
              <w:rPr>
                <w:sz w:val="20"/>
              </w:rPr>
            </w:pPr>
            <w:r>
              <w:rPr>
                <w:sz w:val="20"/>
              </w:rPr>
              <w:t xml:space="preserve">Cash and cash equivalents </w:t>
            </w:r>
          </w:p>
        </w:tc>
        <w:tc>
          <w:tcPr>
            <w:tcW w:w="782" w:type="dxa"/>
            <w:tcBorders/>
            <w:shd w:fill="D5EAEA" w:val="clear"/>
            <w:vAlign w:val="center"/>
          </w:tcPr>
          <w:p>
            <w:pPr>
              <w:pStyle w:val="TableContents"/>
              <w:bidi w:val="0"/>
              <w:spacing w:before="0" w:after="283"/>
              <w:jc w:val="right"/>
              <w:rPr>
                <w:sz w:val="20"/>
              </w:rPr>
            </w:pPr>
            <w:r>
              <w:rPr>
                <w:sz w:val="20"/>
              </w:rPr>
              <w:t>9,299</w:t>
            </w:r>
          </w:p>
        </w:tc>
        <w:tc>
          <w:tcPr>
            <w:tcW w:w="659" w:type="dxa"/>
            <w:tcBorders/>
            <w:shd w:fill="D5EAEA" w:val="clear"/>
            <w:vAlign w:val="center"/>
          </w:tcPr>
          <w:p>
            <w:pPr>
              <w:pStyle w:val="TableContents"/>
              <w:bidi w:val="0"/>
              <w:spacing w:before="0" w:after="283"/>
              <w:jc w:val="right"/>
              <w:rPr>
                <w:sz w:val="20"/>
              </w:rPr>
            </w:pPr>
            <w:r>
              <w:rPr>
                <w:sz w:val="20"/>
              </w:rPr>
              <w:t>1,367</w:t>
            </w:r>
          </w:p>
        </w:tc>
        <w:tc>
          <w:tcPr>
            <w:tcW w:w="704" w:type="dxa"/>
            <w:tcBorders/>
            <w:shd w:fill="D5EAEA" w:val="clear"/>
            <w:vAlign w:val="center"/>
          </w:tcPr>
          <w:p>
            <w:pPr>
              <w:pStyle w:val="TableContents"/>
              <w:bidi w:val="0"/>
              <w:spacing w:before="0" w:after="283"/>
              <w:jc w:val="right"/>
              <w:rPr>
                <w:sz w:val="20"/>
              </w:rPr>
            </w:pPr>
            <w:r>
              <w:rPr>
                <w:sz w:val="20"/>
              </w:rPr>
              <w:t>22,849</w:t>
            </w:r>
          </w:p>
        </w:tc>
        <w:tc>
          <w:tcPr>
            <w:tcW w:w="686" w:type="dxa"/>
            <w:tcBorders/>
            <w:shd w:fill="D5EAEA" w:val="clear"/>
            <w:vAlign w:val="center"/>
          </w:tcPr>
          <w:p>
            <w:pPr>
              <w:pStyle w:val="TableContents"/>
              <w:bidi w:val="0"/>
              <w:spacing w:before="0" w:after="283"/>
              <w:jc w:val="right"/>
              <w:rPr>
                <w:sz w:val="20"/>
              </w:rPr>
            </w:pPr>
            <w:r>
              <w:rPr>
                <w:sz w:val="20"/>
              </w:rPr>
              <w:t>4,241</w:t>
            </w:r>
          </w:p>
        </w:tc>
        <w:tc>
          <w:tcPr>
            <w:tcW w:w="679" w:type="dxa"/>
            <w:tcBorders/>
            <w:shd w:fill="D5EAEA" w:val="clear"/>
            <w:vAlign w:val="center"/>
          </w:tcPr>
          <w:p>
            <w:pPr>
              <w:pStyle w:val="TableContents"/>
              <w:bidi w:val="0"/>
              <w:spacing w:before="0" w:after="283"/>
              <w:jc w:val="right"/>
              <w:rPr>
                <w:sz w:val="20"/>
              </w:rPr>
            </w:pPr>
            <w:r>
              <w:rPr>
                <w:sz w:val="20"/>
              </w:rPr>
              <w:t>8,727</w:t>
            </w:r>
          </w:p>
        </w:tc>
        <w:tc>
          <w:tcPr>
            <w:tcW w:w="698" w:type="dxa"/>
            <w:tcBorders/>
            <w:shd w:fill="D5EAEA" w:val="clear"/>
            <w:vAlign w:val="center"/>
          </w:tcPr>
          <w:p>
            <w:pPr>
              <w:pStyle w:val="TableContents"/>
              <w:bidi w:val="0"/>
              <w:spacing w:before="0" w:after="283"/>
              <w:jc w:val="right"/>
              <w:rPr>
                <w:sz w:val="20"/>
              </w:rPr>
            </w:pPr>
            <w:r>
              <w:rPr>
                <w:sz w:val="20"/>
              </w:rPr>
              <w:t>4,171</w:t>
            </w:r>
          </w:p>
        </w:tc>
        <w:tc>
          <w:tcPr>
            <w:tcW w:w="3490" w:type="dxa"/>
            <w:tcBorders/>
            <w:shd w:fill="D5EAEA" w:val="clear"/>
            <w:vAlign w:val="center"/>
          </w:tcPr>
          <w:p>
            <w:pPr>
              <w:pStyle w:val="TableContents"/>
              <w:bidi w:val="0"/>
              <w:spacing w:before="0" w:after="283"/>
              <w:jc w:val="right"/>
              <w:rPr>
                <w:sz w:val="20"/>
              </w:rPr>
            </w:pPr>
            <w:r>
              <w:rPr>
                <w:sz w:val="20"/>
              </w:rPr>
              <w:t>5,065</w:t>
            </w:r>
          </w:p>
        </w:tc>
      </w:tr>
      <w:tr>
        <w:trPr/>
        <w:tc>
          <w:tcPr>
            <w:tcW w:w="2507" w:type="dxa"/>
            <w:tcBorders/>
            <w:shd w:fill="FFFFFF" w:val="clear"/>
            <w:vAlign w:val="center"/>
          </w:tcPr>
          <w:p>
            <w:pPr>
              <w:pStyle w:val="TableContents"/>
              <w:bidi w:val="0"/>
              <w:spacing w:before="0" w:after="283"/>
              <w:jc w:val="left"/>
              <w:rPr>
                <w:sz w:val="20"/>
              </w:rPr>
            </w:pPr>
            <w:r>
              <w:rPr>
                <w:sz w:val="20"/>
              </w:rPr>
              <w:t xml:space="preserve">Short term investments </w:t>
            </w:r>
          </w:p>
        </w:tc>
        <w:tc>
          <w:tcPr>
            <w:tcW w:w="782" w:type="dxa"/>
            <w:tcBorders/>
            <w:shd w:fill="FFFFFF" w:val="clear"/>
            <w:vAlign w:val="center"/>
          </w:tcPr>
          <w:p>
            <w:pPr>
              <w:pStyle w:val="TableContents"/>
              <w:bidi w:val="0"/>
              <w:spacing w:before="0" w:after="283"/>
              <w:jc w:val="right"/>
              <w:rPr>
                <w:sz w:val="20"/>
              </w:rPr>
            </w:pPr>
            <w:r>
              <w:rPr>
                <w:sz w:val="20"/>
              </w:rPr>
              <w:t>36,104</w:t>
            </w:r>
          </w:p>
        </w:tc>
        <w:tc>
          <w:tcPr>
            <w:tcW w:w="659" w:type="dxa"/>
            <w:tcBorders/>
            <w:shd w:fill="FFFFFF" w:val="clear"/>
            <w:vAlign w:val="center"/>
          </w:tcPr>
          <w:p>
            <w:pPr>
              <w:pStyle w:val="TableContents"/>
              <w:bidi w:val="0"/>
              <w:spacing w:before="0" w:after="283"/>
              <w:jc w:val="right"/>
              <w:rPr>
                <w:sz w:val="20"/>
              </w:rPr>
            </w:pPr>
            <w:r>
              <w:rPr>
                <w:sz w:val="20"/>
              </w:rPr>
              <w:t>-</w:t>
            </w:r>
          </w:p>
        </w:tc>
        <w:tc>
          <w:tcPr>
            <w:tcW w:w="704" w:type="dxa"/>
            <w:tcBorders/>
            <w:shd w:fill="FFFFFF" w:val="clear"/>
            <w:vAlign w:val="center"/>
          </w:tcPr>
          <w:p>
            <w:pPr>
              <w:pStyle w:val="TableContents"/>
              <w:bidi w:val="0"/>
              <w:spacing w:before="0" w:after="283"/>
              <w:jc w:val="right"/>
              <w:rPr>
                <w:sz w:val="20"/>
              </w:rPr>
            </w:pPr>
            <w:r>
              <w:rPr>
                <w:sz w:val="20"/>
              </w:rPr>
              <w:t>803</w:t>
            </w:r>
          </w:p>
        </w:tc>
        <w:tc>
          <w:tcPr>
            <w:tcW w:w="686" w:type="dxa"/>
            <w:tcBorders/>
            <w:shd w:fill="FFFFFF" w:val="clear"/>
            <w:vAlign w:val="center"/>
          </w:tcPr>
          <w:p>
            <w:pPr>
              <w:pStyle w:val="TableContents"/>
              <w:bidi w:val="0"/>
              <w:spacing w:before="0" w:after="283"/>
              <w:jc w:val="right"/>
              <w:rPr>
                <w:sz w:val="20"/>
              </w:rPr>
            </w:pPr>
            <w:r>
              <w:rPr>
                <w:sz w:val="20"/>
              </w:rPr>
              <w:t>6,469</w:t>
            </w:r>
          </w:p>
        </w:tc>
        <w:tc>
          <w:tcPr>
            <w:tcW w:w="679" w:type="dxa"/>
            <w:tcBorders/>
            <w:shd w:fill="FFFFFF" w:val="clear"/>
            <w:vAlign w:val="center"/>
          </w:tcPr>
          <w:p>
            <w:pPr>
              <w:pStyle w:val="TableContents"/>
              <w:bidi w:val="0"/>
              <w:spacing w:before="0" w:after="283"/>
              <w:jc w:val="right"/>
              <w:rPr>
                <w:sz w:val="20"/>
              </w:rPr>
            </w:pPr>
            <w:r>
              <w:rPr>
                <w:sz w:val="20"/>
              </w:rPr>
              <w:t>-</w:t>
            </w:r>
          </w:p>
        </w:tc>
        <w:tc>
          <w:tcPr>
            <w:tcW w:w="698" w:type="dxa"/>
            <w:tcBorders/>
            <w:shd w:fill="FFFFFF" w:val="clear"/>
            <w:vAlign w:val="center"/>
          </w:tcPr>
          <w:p>
            <w:pPr>
              <w:pStyle w:val="TableContents"/>
              <w:bidi w:val="0"/>
              <w:spacing w:before="0" w:after="283"/>
              <w:jc w:val="right"/>
              <w:rPr>
                <w:sz w:val="20"/>
              </w:rPr>
            </w:pPr>
            <w:r>
              <w:rPr>
                <w:sz w:val="20"/>
              </w:rPr>
              <w:t>-</w:t>
            </w:r>
          </w:p>
        </w:tc>
        <w:tc>
          <w:tcPr>
            <w:tcW w:w="3490" w:type="dxa"/>
            <w:tcBorders/>
            <w:shd w:fill="FFFFFF" w:val="clear"/>
            <w:vAlign w:val="center"/>
          </w:tcPr>
          <w:p>
            <w:pPr>
              <w:pStyle w:val="TableContents"/>
              <w:bidi w:val="0"/>
              <w:spacing w:before="0" w:after="283"/>
              <w:jc w:val="right"/>
              <w:rPr>
                <w:sz w:val="20"/>
              </w:rPr>
            </w:pPr>
            <w:r>
              <w:rPr>
                <w:sz w:val="20"/>
              </w:rPr>
              <w:t>4,338</w:t>
            </w:r>
          </w:p>
        </w:tc>
      </w:tr>
      <w:tr>
        <w:trPr/>
        <w:tc>
          <w:tcPr>
            <w:tcW w:w="2507" w:type="dxa"/>
            <w:tcBorders/>
            <w:shd w:fill="D5EAEA" w:val="clear"/>
            <w:vAlign w:val="center"/>
          </w:tcPr>
          <w:p>
            <w:pPr>
              <w:pStyle w:val="TableContents"/>
              <w:bidi w:val="0"/>
              <w:spacing w:before="0" w:after="283"/>
              <w:jc w:val="left"/>
              <w:rPr>
                <w:sz w:val="20"/>
              </w:rPr>
            </w:pPr>
            <w:r>
              <w:rPr>
                <w:sz w:val="20"/>
              </w:rPr>
              <w:t xml:space="preserve">Client funds on deposit </w:t>
            </w:r>
          </w:p>
        </w:tc>
        <w:tc>
          <w:tcPr>
            <w:tcW w:w="782" w:type="dxa"/>
            <w:tcBorders/>
            <w:shd w:fill="D5EAEA" w:val="clear"/>
            <w:vAlign w:val="center"/>
          </w:tcPr>
          <w:p>
            <w:pPr>
              <w:pStyle w:val="TableContents"/>
              <w:bidi w:val="0"/>
              <w:spacing w:before="0" w:after="283"/>
              <w:jc w:val="right"/>
              <w:rPr>
                <w:sz w:val="20"/>
              </w:rPr>
            </w:pPr>
            <w:r>
              <w:rPr>
                <w:sz w:val="20"/>
              </w:rPr>
              <w:t>-</w:t>
            </w:r>
          </w:p>
        </w:tc>
        <w:tc>
          <w:tcPr>
            <w:tcW w:w="659" w:type="dxa"/>
            <w:tcBorders/>
            <w:shd w:fill="D5EAEA" w:val="clear"/>
            <w:vAlign w:val="center"/>
          </w:tcPr>
          <w:p>
            <w:pPr>
              <w:pStyle w:val="TableContents"/>
              <w:bidi w:val="0"/>
              <w:spacing w:before="0" w:after="283"/>
              <w:jc w:val="right"/>
              <w:rPr>
                <w:sz w:val="20"/>
              </w:rPr>
            </w:pPr>
            <w:r>
              <w:rPr>
                <w:sz w:val="20"/>
              </w:rPr>
              <w:t>-</w:t>
            </w:r>
          </w:p>
        </w:tc>
        <w:tc>
          <w:tcPr>
            <w:tcW w:w="704" w:type="dxa"/>
            <w:tcBorders/>
            <w:shd w:fill="D5EAEA" w:val="clear"/>
            <w:vAlign w:val="center"/>
          </w:tcPr>
          <w:p>
            <w:pPr>
              <w:pStyle w:val="TableContents"/>
              <w:bidi w:val="0"/>
              <w:spacing w:before="0" w:after="283"/>
              <w:jc w:val="right"/>
              <w:rPr>
                <w:sz w:val="20"/>
              </w:rPr>
            </w:pPr>
            <w:r>
              <w:rPr>
                <w:sz w:val="20"/>
              </w:rPr>
              <w:t>24,919</w:t>
            </w:r>
          </w:p>
        </w:tc>
        <w:tc>
          <w:tcPr>
            <w:tcW w:w="686" w:type="dxa"/>
            <w:tcBorders/>
            <w:shd w:fill="D5EAEA" w:val="clear"/>
            <w:vAlign w:val="center"/>
          </w:tcPr>
          <w:p>
            <w:pPr>
              <w:pStyle w:val="TableContents"/>
              <w:bidi w:val="0"/>
              <w:spacing w:before="0" w:after="283"/>
              <w:jc w:val="right"/>
              <w:rPr>
                <w:sz w:val="20"/>
              </w:rPr>
            </w:pPr>
            <w:r>
              <w:rPr>
                <w:sz w:val="20"/>
              </w:rPr>
              <w:t>-</w:t>
            </w:r>
          </w:p>
        </w:tc>
        <w:tc>
          <w:tcPr>
            <w:tcW w:w="679" w:type="dxa"/>
            <w:tcBorders/>
            <w:shd w:fill="D5EAEA" w:val="clear"/>
            <w:vAlign w:val="center"/>
          </w:tcPr>
          <w:p>
            <w:pPr>
              <w:pStyle w:val="TableContents"/>
              <w:bidi w:val="0"/>
              <w:spacing w:before="0" w:after="283"/>
              <w:jc w:val="right"/>
              <w:rPr>
                <w:sz w:val="20"/>
              </w:rPr>
            </w:pPr>
            <w:r>
              <w:rPr>
                <w:sz w:val="20"/>
              </w:rPr>
              <w:t>-</w:t>
            </w:r>
          </w:p>
        </w:tc>
        <w:tc>
          <w:tcPr>
            <w:tcW w:w="698" w:type="dxa"/>
            <w:tcBorders/>
            <w:shd w:fill="D5EAEA" w:val="clear"/>
            <w:vAlign w:val="center"/>
          </w:tcPr>
          <w:p>
            <w:pPr>
              <w:pStyle w:val="TableContents"/>
              <w:bidi w:val="0"/>
              <w:spacing w:before="0" w:after="283"/>
              <w:jc w:val="right"/>
              <w:rPr>
                <w:sz w:val="20"/>
              </w:rPr>
            </w:pPr>
            <w:r>
              <w:rPr>
                <w:sz w:val="20"/>
              </w:rPr>
              <w:t>-</w:t>
            </w:r>
          </w:p>
        </w:tc>
        <w:tc>
          <w:tcPr>
            <w:tcW w:w="3490" w:type="dxa"/>
            <w:tcBorders/>
            <w:shd w:fill="D5EAEA" w:val="clear"/>
            <w:vAlign w:val="center"/>
          </w:tcPr>
          <w:p>
            <w:pPr>
              <w:pStyle w:val="TableContents"/>
              <w:bidi w:val="0"/>
              <w:spacing w:before="0" w:after="283"/>
              <w:jc w:val="right"/>
              <w:rPr>
                <w:sz w:val="20"/>
              </w:rPr>
            </w:pPr>
            <w:r>
              <w:rPr>
                <w:sz w:val="20"/>
              </w:rPr>
              <w:t>2,492</w:t>
            </w:r>
          </w:p>
        </w:tc>
      </w:tr>
      <w:tr>
        <w:trPr/>
        <w:tc>
          <w:tcPr>
            <w:tcW w:w="2507" w:type="dxa"/>
            <w:tcBorders/>
            <w:shd w:fill="FFFFFF" w:val="clear"/>
            <w:vAlign w:val="center"/>
          </w:tcPr>
          <w:p>
            <w:pPr>
              <w:pStyle w:val="TableContents"/>
              <w:bidi w:val="0"/>
              <w:spacing w:before="0" w:after="283"/>
              <w:jc w:val="left"/>
              <w:rPr>
                <w:sz w:val="20"/>
              </w:rPr>
            </w:pPr>
            <w:r>
              <w:rPr>
                <w:sz w:val="20"/>
              </w:rPr>
              <w:t xml:space="preserve">Accounts receivable </w:t>
            </w:r>
          </w:p>
        </w:tc>
        <w:tc>
          <w:tcPr>
            <w:tcW w:w="782" w:type="dxa"/>
            <w:tcBorders/>
            <w:shd w:fill="FFFFFF" w:val="clear"/>
            <w:vAlign w:val="center"/>
          </w:tcPr>
          <w:p>
            <w:pPr>
              <w:pStyle w:val="TableContents"/>
              <w:bidi w:val="0"/>
              <w:spacing w:before="0" w:after="283"/>
              <w:jc w:val="right"/>
              <w:rPr>
                <w:sz w:val="20"/>
              </w:rPr>
            </w:pPr>
            <w:r>
              <w:rPr>
                <w:sz w:val="20"/>
              </w:rPr>
              <w:t>174,054</w:t>
            </w:r>
          </w:p>
        </w:tc>
        <w:tc>
          <w:tcPr>
            <w:tcW w:w="659" w:type="dxa"/>
            <w:tcBorders/>
            <w:shd w:fill="FFFFFF" w:val="clear"/>
            <w:vAlign w:val="center"/>
          </w:tcPr>
          <w:p>
            <w:pPr>
              <w:pStyle w:val="TableContents"/>
              <w:bidi w:val="0"/>
              <w:spacing w:before="0" w:after="283"/>
              <w:jc w:val="right"/>
              <w:rPr>
                <w:sz w:val="20"/>
              </w:rPr>
            </w:pPr>
            <w:r>
              <w:rPr>
                <w:sz w:val="20"/>
              </w:rPr>
              <w:t>238</w:t>
            </w:r>
          </w:p>
        </w:tc>
        <w:tc>
          <w:tcPr>
            <w:tcW w:w="704" w:type="dxa"/>
            <w:tcBorders/>
            <w:shd w:fill="FFFFFF" w:val="clear"/>
            <w:vAlign w:val="center"/>
          </w:tcPr>
          <w:p>
            <w:pPr>
              <w:pStyle w:val="TableContents"/>
              <w:bidi w:val="0"/>
              <w:spacing w:before="0" w:after="283"/>
              <w:jc w:val="right"/>
              <w:rPr>
                <w:sz w:val="20"/>
              </w:rPr>
            </w:pPr>
            <w:r>
              <w:rPr>
                <w:sz w:val="20"/>
              </w:rPr>
              <w:t>22,249</w:t>
            </w:r>
          </w:p>
        </w:tc>
        <w:tc>
          <w:tcPr>
            <w:tcW w:w="686" w:type="dxa"/>
            <w:tcBorders/>
            <w:shd w:fill="FFFFFF" w:val="clear"/>
            <w:vAlign w:val="center"/>
          </w:tcPr>
          <w:p>
            <w:pPr>
              <w:pStyle w:val="TableContents"/>
              <w:bidi w:val="0"/>
              <w:spacing w:before="0" w:after="283"/>
              <w:jc w:val="right"/>
              <w:rPr>
                <w:sz w:val="20"/>
              </w:rPr>
            </w:pPr>
            <w:r>
              <w:rPr>
                <w:sz w:val="20"/>
              </w:rPr>
              <w:t>4,427</w:t>
            </w:r>
          </w:p>
        </w:tc>
        <w:tc>
          <w:tcPr>
            <w:tcW w:w="679" w:type="dxa"/>
            <w:tcBorders/>
            <w:shd w:fill="FFFFFF" w:val="clear"/>
            <w:vAlign w:val="center"/>
          </w:tcPr>
          <w:p>
            <w:pPr>
              <w:pStyle w:val="TableContents"/>
              <w:bidi w:val="0"/>
              <w:spacing w:before="0" w:after="283"/>
              <w:jc w:val="right"/>
              <w:rPr>
                <w:sz w:val="20"/>
              </w:rPr>
            </w:pPr>
            <w:r>
              <w:rPr>
                <w:sz w:val="20"/>
              </w:rPr>
              <w:t>62,942</w:t>
            </w:r>
          </w:p>
        </w:tc>
        <w:tc>
          <w:tcPr>
            <w:tcW w:w="698" w:type="dxa"/>
            <w:tcBorders/>
            <w:shd w:fill="FFFFFF" w:val="clear"/>
            <w:vAlign w:val="center"/>
          </w:tcPr>
          <w:p>
            <w:pPr>
              <w:pStyle w:val="TableContents"/>
              <w:bidi w:val="0"/>
              <w:spacing w:before="0" w:after="283"/>
              <w:jc w:val="right"/>
              <w:rPr>
                <w:sz w:val="20"/>
              </w:rPr>
            </w:pPr>
            <w:r>
              <w:rPr>
                <w:sz w:val="20"/>
              </w:rPr>
              <w:t>89</w:t>
            </w:r>
          </w:p>
        </w:tc>
        <w:tc>
          <w:tcPr>
            <w:tcW w:w="3490" w:type="dxa"/>
            <w:tcBorders/>
            <w:shd w:fill="FFFFFF" w:val="clear"/>
            <w:vAlign w:val="center"/>
          </w:tcPr>
          <w:p>
            <w:pPr>
              <w:pStyle w:val="TableContents"/>
              <w:bidi w:val="0"/>
              <w:spacing w:before="0" w:after="283"/>
              <w:jc w:val="right"/>
              <w:rPr>
                <w:sz w:val="20"/>
              </w:rPr>
            </w:pPr>
            <w:r>
              <w:rPr>
                <w:sz w:val="20"/>
              </w:rPr>
              <w:t>26,400</w:t>
            </w:r>
          </w:p>
        </w:tc>
      </w:tr>
      <w:tr>
        <w:trPr/>
        <w:tc>
          <w:tcPr>
            <w:tcW w:w="2507" w:type="dxa"/>
            <w:tcBorders/>
            <w:shd w:fill="D5EAEA" w:val="clear"/>
            <w:vAlign w:val="center"/>
          </w:tcPr>
          <w:p>
            <w:pPr>
              <w:pStyle w:val="TableContents"/>
              <w:bidi w:val="0"/>
              <w:spacing w:before="0" w:after="283"/>
              <w:jc w:val="left"/>
              <w:rPr>
                <w:sz w:val="20"/>
              </w:rPr>
            </w:pPr>
            <w:r>
              <w:rPr>
                <w:sz w:val="20"/>
              </w:rPr>
              <w:t xml:space="preserve">Projects Advance </w:t>
            </w:r>
          </w:p>
        </w:tc>
        <w:tc>
          <w:tcPr>
            <w:tcW w:w="782" w:type="dxa"/>
            <w:tcBorders/>
            <w:shd w:fill="D5EAEA" w:val="clear"/>
            <w:vAlign w:val="center"/>
          </w:tcPr>
          <w:p>
            <w:pPr>
              <w:pStyle w:val="TableContents"/>
              <w:bidi w:val="0"/>
              <w:spacing w:before="0" w:after="283"/>
              <w:jc w:val="right"/>
              <w:rPr>
                <w:sz w:val="20"/>
              </w:rPr>
            </w:pPr>
            <w:r>
              <w:rPr>
                <w:sz w:val="20"/>
              </w:rPr>
              <w:t>5,156</w:t>
            </w:r>
          </w:p>
        </w:tc>
        <w:tc>
          <w:tcPr>
            <w:tcW w:w="659" w:type="dxa"/>
            <w:tcBorders/>
            <w:shd w:fill="D5EAEA" w:val="clear"/>
            <w:vAlign w:val="center"/>
          </w:tcPr>
          <w:p>
            <w:pPr>
              <w:pStyle w:val="TableContents"/>
              <w:bidi w:val="0"/>
              <w:spacing w:before="0" w:after="283"/>
              <w:jc w:val="right"/>
              <w:rPr>
                <w:sz w:val="20"/>
              </w:rPr>
            </w:pPr>
            <w:r>
              <w:rPr>
                <w:sz w:val="20"/>
              </w:rPr>
              <w:t>-</w:t>
            </w:r>
          </w:p>
        </w:tc>
        <w:tc>
          <w:tcPr>
            <w:tcW w:w="704" w:type="dxa"/>
            <w:tcBorders/>
            <w:shd w:fill="D5EAEA" w:val="clear"/>
            <w:vAlign w:val="center"/>
          </w:tcPr>
          <w:p>
            <w:pPr>
              <w:pStyle w:val="TableContents"/>
              <w:bidi w:val="0"/>
              <w:spacing w:before="0" w:after="283"/>
              <w:jc w:val="right"/>
              <w:rPr>
                <w:sz w:val="20"/>
              </w:rPr>
            </w:pPr>
            <w:r>
              <w:rPr>
                <w:sz w:val="20"/>
              </w:rPr>
              <w:t>1,218</w:t>
            </w:r>
          </w:p>
        </w:tc>
        <w:tc>
          <w:tcPr>
            <w:tcW w:w="686" w:type="dxa"/>
            <w:tcBorders/>
            <w:shd w:fill="D5EAEA" w:val="clear"/>
            <w:vAlign w:val="center"/>
          </w:tcPr>
          <w:p>
            <w:pPr>
              <w:pStyle w:val="TableContents"/>
              <w:bidi w:val="0"/>
              <w:spacing w:before="0" w:after="283"/>
              <w:jc w:val="right"/>
              <w:rPr>
                <w:sz w:val="20"/>
              </w:rPr>
            </w:pPr>
            <w:r>
              <w:rPr>
                <w:sz w:val="20"/>
              </w:rPr>
              <w:t>728</w:t>
            </w:r>
          </w:p>
        </w:tc>
        <w:tc>
          <w:tcPr>
            <w:tcW w:w="679" w:type="dxa"/>
            <w:tcBorders/>
            <w:shd w:fill="D5EAEA" w:val="clear"/>
            <w:vAlign w:val="center"/>
          </w:tcPr>
          <w:p>
            <w:pPr>
              <w:pStyle w:val="TableContents"/>
              <w:bidi w:val="0"/>
              <w:spacing w:before="0" w:after="283"/>
              <w:jc w:val="right"/>
              <w:rPr>
                <w:sz w:val="20"/>
              </w:rPr>
            </w:pPr>
            <w:r>
              <w:rPr>
                <w:sz w:val="20"/>
              </w:rPr>
              <w:t>273</w:t>
            </w:r>
          </w:p>
        </w:tc>
        <w:tc>
          <w:tcPr>
            <w:tcW w:w="698" w:type="dxa"/>
            <w:tcBorders/>
            <w:shd w:fill="D5EAEA" w:val="clear"/>
            <w:vAlign w:val="center"/>
          </w:tcPr>
          <w:p>
            <w:pPr>
              <w:pStyle w:val="TableContents"/>
              <w:bidi w:val="0"/>
              <w:spacing w:before="0" w:after="283"/>
              <w:jc w:val="right"/>
              <w:rPr>
                <w:sz w:val="20"/>
              </w:rPr>
            </w:pPr>
            <w:r>
              <w:rPr>
                <w:sz w:val="20"/>
              </w:rPr>
              <w:t>-</w:t>
            </w:r>
          </w:p>
        </w:tc>
        <w:tc>
          <w:tcPr>
            <w:tcW w:w="3490" w:type="dxa"/>
            <w:tcBorders/>
            <w:shd w:fill="D5EAEA" w:val="clear"/>
            <w:vAlign w:val="center"/>
          </w:tcPr>
          <w:p>
            <w:pPr>
              <w:pStyle w:val="TableContents"/>
              <w:bidi w:val="0"/>
              <w:spacing w:before="0" w:after="283"/>
              <w:jc w:val="right"/>
              <w:rPr>
                <w:sz w:val="20"/>
              </w:rPr>
            </w:pPr>
            <w:r>
              <w:rPr>
                <w:sz w:val="20"/>
              </w:rPr>
              <w:t>738</w:t>
            </w:r>
          </w:p>
        </w:tc>
      </w:tr>
      <w:tr>
        <w:trPr/>
        <w:tc>
          <w:tcPr>
            <w:tcW w:w="2507" w:type="dxa"/>
            <w:tcBorders/>
            <w:shd w:fill="FFFFFF" w:val="clear"/>
            <w:vAlign w:val="center"/>
          </w:tcPr>
          <w:p>
            <w:pPr>
              <w:pStyle w:val="TableContents"/>
              <w:bidi w:val="0"/>
              <w:spacing w:before="0" w:after="283"/>
              <w:jc w:val="left"/>
              <w:rPr>
                <w:sz w:val="20"/>
              </w:rPr>
            </w:pPr>
            <w:r>
              <w:rPr>
                <w:sz w:val="20"/>
              </w:rPr>
              <w:t xml:space="preserve">Deposit/guarantee on lease agreement </w:t>
            </w:r>
          </w:p>
        </w:tc>
        <w:tc>
          <w:tcPr>
            <w:tcW w:w="782" w:type="dxa"/>
            <w:tcBorders/>
            <w:shd w:fill="FFFFFF" w:val="clear"/>
            <w:vAlign w:val="center"/>
          </w:tcPr>
          <w:p>
            <w:pPr>
              <w:pStyle w:val="TableContents"/>
              <w:bidi w:val="0"/>
              <w:spacing w:before="0" w:after="283"/>
              <w:jc w:val="right"/>
              <w:rPr>
                <w:sz w:val="20"/>
              </w:rPr>
            </w:pPr>
            <w:r>
              <w:rPr>
                <w:sz w:val="20"/>
              </w:rPr>
              <w:t>7</w:t>
            </w:r>
          </w:p>
        </w:tc>
        <w:tc>
          <w:tcPr>
            <w:tcW w:w="659" w:type="dxa"/>
            <w:tcBorders/>
            <w:shd w:fill="FFFFFF" w:val="clear"/>
            <w:vAlign w:val="center"/>
          </w:tcPr>
          <w:p>
            <w:pPr>
              <w:pStyle w:val="TableContents"/>
              <w:bidi w:val="0"/>
              <w:spacing w:before="0" w:after="283"/>
              <w:jc w:val="right"/>
              <w:rPr>
                <w:sz w:val="20"/>
              </w:rPr>
            </w:pPr>
            <w:r>
              <w:rPr>
                <w:sz w:val="20"/>
              </w:rPr>
              <w:t>43</w:t>
            </w:r>
          </w:p>
        </w:tc>
        <w:tc>
          <w:tcPr>
            <w:tcW w:w="704" w:type="dxa"/>
            <w:tcBorders/>
            <w:shd w:fill="FFFFFF" w:val="clear"/>
            <w:vAlign w:val="center"/>
          </w:tcPr>
          <w:p>
            <w:pPr>
              <w:pStyle w:val="TableContents"/>
              <w:bidi w:val="0"/>
              <w:spacing w:before="0" w:after="283"/>
              <w:jc w:val="right"/>
              <w:rPr>
                <w:sz w:val="20"/>
              </w:rPr>
            </w:pPr>
            <w:r>
              <w:rPr>
                <w:sz w:val="20"/>
              </w:rPr>
              <w:t>1,376</w:t>
            </w:r>
          </w:p>
        </w:tc>
        <w:tc>
          <w:tcPr>
            <w:tcW w:w="686" w:type="dxa"/>
            <w:tcBorders/>
            <w:shd w:fill="FFFFFF" w:val="clear"/>
            <w:vAlign w:val="center"/>
          </w:tcPr>
          <w:p>
            <w:pPr>
              <w:pStyle w:val="TableContents"/>
              <w:bidi w:val="0"/>
              <w:spacing w:before="0" w:after="283"/>
              <w:jc w:val="right"/>
              <w:rPr>
                <w:sz w:val="20"/>
              </w:rPr>
            </w:pPr>
            <w:r>
              <w:rPr>
                <w:sz w:val="20"/>
              </w:rPr>
              <w:t>31</w:t>
            </w:r>
          </w:p>
        </w:tc>
        <w:tc>
          <w:tcPr>
            <w:tcW w:w="679" w:type="dxa"/>
            <w:tcBorders/>
            <w:shd w:fill="FFFFFF" w:val="clear"/>
            <w:vAlign w:val="center"/>
          </w:tcPr>
          <w:p>
            <w:pPr>
              <w:pStyle w:val="TableContents"/>
              <w:bidi w:val="0"/>
              <w:spacing w:before="0" w:after="283"/>
              <w:jc w:val="right"/>
              <w:rPr>
                <w:sz w:val="20"/>
              </w:rPr>
            </w:pPr>
            <w:r>
              <w:rPr>
                <w:sz w:val="20"/>
              </w:rPr>
              <w:t>845</w:t>
            </w:r>
          </w:p>
        </w:tc>
        <w:tc>
          <w:tcPr>
            <w:tcW w:w="698" w:type="dxa"/>
            <w:tcBorders/>
            <w:shd w:fill="FFFFFF" w:val="clear"/>
            <w:vAlign w:val="center"/>
          </w:tcPr>
          <w:p>
            <w:pPr>
              <w:pStyle w:val="TableContents"/>
              <w:bidi w:val="0"/>
              <w:spacing w:before="0" w:after="283"/>
              <w:jc w:val="right"/>
              <w:rPr>
                <w:sz w:val="20"/>
              </w:rPr>
            </w:pPr>
            <w:r>
              <w:rPr>
                <w:sz w:val="20"/>
              </w:rPr>
              <w:t>-</w:t>
            </w:r>
          </w:p>
        </w:tc>
        <w:tc>
          <w:tcPr>
            <w:tcW w:w="3490" w:type="dxa"/>
            <w:tcBorders/>
            <w:shd w:fill="FFFFFF" w:val="clear"/>
            <w:vAlign w:val="center"/>
          </w:tcPr>
          <w:p>
            <w:pPr>
              <w:pStyle w:val="TableContents"/>
              <w:bidi w:val="0"/>
              <w:spacing w:before="0" w:after="283"/>
              <w:jc w:val="right"/>
              <w:rPr>
                <w:sz w:val="20"/>
              </w:rPr>
            </w:pPr>
            <w:r>
              <w:rPr>
                <w:sz w:val="20"/>
              </w:rPr>
              <w:t>230</w:t>
            </w:r>
          </w:p>
        </w:tc>
      </w:tr>
      <w:tr>
        <w:trPr/>
        <w:tc>
          <w:tcPr>
            <w:tcW w:w="2507" w:type="dxa"/>
            <w:tcBorders/>
            <w:shd w:fill="D5EAEA" w:val="clear"/>
            <w:vAlign w:val="center"/>
          </w:tcPr>
          <w:p>
            <w:pPr>
              <w:pStyle w:val="TableContents"/>
              <w:bidi w:val="0"/>
              <w:spacing w:before="0" w:after="283"/>
              <w:jc w:val="left"/>
              <w:rPr>
                <w:sz w:val="20"/>
              </w:rPr>
            </w:pPr>
            <w:r>
              <w:rPr>
                <w:sz w:val="20"/>
              </w:rPr>
              <w:t xml:space="preserve">Long-term investments </w:t>
            </w:r>
          </w:p>
        </w:tc>
        <w:tc>
          <w:tcPr>
            <w:tcW w:w="782" w:type="dxa"/>
            <w:tcBorders/>
            <w:shd w:fill="D5EAEA" w:val="clear"/>
            <w:vAlign w:val="center"/>
          </w:tcPr>
          <w:p>
            <w:pPr>
              <w:pStyle w:val="TableContents"/>
              <w:bidi w:val="0"/>
              <w:spacing w:before="0" w:after="283"/>
              <w:jc w:val="right"/>
              <w:rPr>
                <w:sz w:val="20"/>
              </w:rPr>
            </w:pPr>
            <w:r>
              <w:rPr>
                <w:sz w:val="20"/>
              </w:rPr>
              <w:t>1,416</w:t>
            </w:r>
          </w:p>
        </w:tc>
        <w:tc>
          <w:tcPr>
            <w:tcW w:w="659" w:type="dxa"/>
            <w:tcBorders/>
            <w:shd w:fill="D5EAEA" w:val="clear"/>
            <w:vAlign w:val="center"/>
          </w:tcPr>
          <w:p>
            <w:pPr>
              <w:pStyle w:val="TableContents"/>
              <w:bidi w:val="0"/>
              <w:spacing w:before="0" w:after="283"/>
              <w:jc w:val="right"/>
              <w:rPr>
                <w:sz w:val="20"/>
              </w:rPr>
            </w:pPr>
            <w:r>
              <w:rPr>
                <w:sz w:val="20"/>
              </w:rPr>
              <w:t>-</w:t>
            </w:r>
          </w:p>
        </w:tc>
        <w:tc>
          <w:tcPr>
            <w:tcW w:w="704" w:type="dxa"/>
            <w:tcBorders/>
            <w:shd w:fill="D5EAEA" w:val="clear"/>
            <w:vAlign w:val="center"/>
          </w:tcPr>
          <w:p>
            <w:pPr>
              <w:pStyle w:val="TableContents"/>
              <w:bidi w:val="0"/>
              <w:spacing w:before="0" w:after="283"/>
              <w:jc w:val="right"/>
              <w:rPr>
                <w:sz w:val="20"/>
              </w:rPr>
            </w:pPr>
            <w:r>
              <w:rPr>
                <w:sz w:val="20"/>
              </w:rPr>
              <w:t>277</w:t>
            </w:r>
          </w:p>
        </w:tc>
        <w:tc>
          <w:tcPr>
            <w:tcW w:w="686" w:type="dxa"/>
            <w:tcBorders/>
            <w:shd w:fill="D5EAEA" w:val="clear"/>
            <w:vAlign w:val="center"/>
          </w:tcPr>
          <w:p>
            <w:pPr>
              <w:pStyle w:val="TableContents"/>
              <w:bidi w:val="0"/>
              <w:spacing w:before="0" w:after="283"/>
              <w:jc w:val="right"/>
              <w:rPr>
                <w:sz w:val="20"/>
              </w:rPr>
            </w:pPr>
            <w:r>
              <w:rPr>
                <w:sz w:val="20"/>
              </w:rPr>
              <w:t>2,373</w:t>
            </w:r>
          </w:p>
        </w:tc>
        <w:tc>
          <w:tcPr>
            <w:tcW w:w="679" w:type="dxa"/>
            <w:tcBorders/>
            <w:shd w:fill="D5EAEA" w:val="clear"/>
            <w:vAlign w:val="center"/>
          </w:tcPr>
          <w:p>
            <w:pPr>
              <w:pStyle w:val="TableContents"/>
              <w:bidi w:val="0"/>
              <w:spacing w:before="0" w:after="283"/>
              <w:jc w:val="right"/>
              <w:rPr>
                <w:sz w:val="20"/>
              </w:rPr>
            </w:pPr>
            <w:r>
              <w:rPr>
                <w:sz w:val="20"/>
              </w:rPr>
              <w:t>3,447</w:t>
            </w:r>
          </w:p>
        </w:tc>
        <w:tc>
          <w:tcPr>
            <w:tcW w:w="698" w:type="dxa"/>
            <w:tcBorders/>
            <w:shd w:fill="D5EAEA" w:val="clear"/>
            <w:vAlign w:val="center"/>
          </w:tcPr>
          <w:p>
            <w:pPr>
              <w:pStyle w:val="TableContents"/>
              <w:bidi w:val="0"/>
              <w:spacing w:before="0" w:after="283"/>
              <w:jc w:val="right"/>
              <w:rPr>
                <w:sz w:val="20"/>
              </w:rPr>
            </w:pPr>
            <w:r>
              <w:rPr>
                <w:sz w:val="20"/>
              </w:rPr>
              <w:t>-</w:t>
            </w:r>
          </w:p>
        </w:tc>
        <w:tc>
          <w:tcPr>
            <w:tcW w:w="3490" w:type="dxa"/>
            <w:tcBorders/>
            <w:shd w:fill="D5EAEA" w:val="clear"/>
            <w:vAlign w:val="center"/>
          </w:tcPr>
          <w:p>
            <w:pPr>
              <w:pStyle w:val="TableContents"/>
              <w:bidi w:val="0"/>
              <w:spacing w:before="0" w:after="283"/>
              <w:jc w:val="right"/>
              <w:rPr>
                <w:sz w:val="20"/>
              </w:rPr>
            </w:pPr>
            <w:r>
              <w:rPr>
                <w:sz w:val="20"/>
              </w:rPr>
              <w:t>751</w:t>
            </w:r>
          </w:p>
        </w:tc>
      </w:tr>
      <w:tr>
        <w:trPr/>
        <w:tc>
          <w:tcPr>
            <w:tcW w:w="2507" w:type="dxa"/>
            <w:tcBorders/>
            <w:shd w:fill="FFFFFF" w:val="clear"/>
            <w:vAlign w:val="center"/>
          </w:tcPr>
          <w:p>
            <w:pPr>
              <w:pStyle w:val="TableContents"/>
              <w:bidi w:val="0"/>
              <w:spacing w:before="0" w:after="283"/>
              <w:jc w:val="left"/>
              <w:rPr>
                <w:sz w:val="20"/>
              </w:rPr>
            </w:pPr>
            <w:r>
              <w:rPr>
                <w:sz w:val="20"/>
              </w:rPr>
              <w:t xml:space="preserve">Client funds payable </w:t>
            </w:r>
          </w:p>
        </w:tc>
        <w:tc>
          <w:tcPr>
            <w:tcW w:w="782" w:type="dxa"/>
            <w:tcBorders/>
            <w:shd w:fill="FFFFFF" w:val="clear"/>
            <w:vAlign w:val="center"/>
          </w:tcPr>
          <w:p>
            <w:pPr>
              <w:pStyle w:val="TableContents"/>
              <w:bidi w:val="0"/>
              <w:spacing w:before="0" w:after="283"/>
              <w:jc w:val="right"/>
              <w:rPr>
                <w:sz w:val="20"/>
              </w:rPr>
            </w:pPr>
            <w:r>
              <w:rPr>
                <w:sz w:val="20"/>
              </w:rPr>
              <w:t>-</w:t>
            </w:r>
          </w:p>
        </w:tc>
        <w:tc>
          <w:tcPr>
            <w:tcW w:w="659" w:type="dxa"/>
            <w:tcBorders/>
            <w:shd w:fill="FFFFFF" w:val="clear"/>
            <w:vAlign w:val="center"/>
          </w:tcPr>
          <w:p>
            <w:pPr>
              <w:pStyle w:val="TableContents"/>
              <w:bidi w:val="0"/>
              <w:spacing w:before="0" w:after="283"/>
              <w:jc w:val="right"/>
              <w:rPr>
                <w:sz w:val="20"/>
              </w:rPr>
            </w:pPr>
            <w:r>
              <w:rPr>
                <w:sz w:val="20"/>
              </w:rPr>
              <w:t>-</w:t>
            </w:r>
          </w:p>
        </w:tc>
        <w:tc>
          <w:tcPr>
            <w:tcW w:w="704" w:type="dxa"/>
            <w:tcBorders/>
            <w:shd w:fill="FFFFFF" w:val="clear"/>
            <w:vAlign w:val="center"/>
          </w:tcPr>
          <w:p>
            <w:pPr>
              <w:pStyle w:val="TableContents"/>
              <w:bidi w:val="0"/>
              <w:spacing w:before="0" w:after="283"/>
              <w:jc w:val="right"/>
              <w:rPr>
                <w:sz w:val="20"/>
              </w:rPr>
            </w:pPr>
            <w:r>
              <w:rPr>
                <w:sz w:val="20"/>
              </w:rPr>
              <w:t>(24,919)</w:t>
            </w:r>
          </w:p>
        </w:tc>
        <w:tc>
          <w:tcPr>
            <w:tcW w:w="686" w:type="dxa"/>
            <w:tcBorders/>
            <w:shd w:fill="FFFFFF" w:val="clear"/>
            <w:vAlign w:val="center"/>
          </w:tcPr>
          <w:p>
            <w:pPr>
              <w:pStyle w:val="TableContents"/>
              <w:bidi w:val="0"/>
              <w:spacing w:before="0" w:after="283"/>
              <w:jc w:val="right"/>
              <w:rPr>
                <w:sz w:val="20"/>
              </w:rPr>
            </w:pPr>
            <w:r>
              <w:rPr>
                <w:sz w:val="20"/>
              </w:rPr>
              <w:t>-</w:t>
            </w:r>
          </w:p>
        </w:tc>
        <w:tc>
          <w:tcPr>
            <w:tcW w:w="679" w:type="dxa"/>
            <w:tcBorders/>
            <w:shd w:fill="FFFFFF" w:val="clear"/>
            <w:vAlign w:val="center"/>
          </w:tcPr>
          <w:p>
            <w:pPr>
              <w:pStyle w:val="TableContents"/>
              <w:bidi w:val="0"/>
              <w:spacing w:before="0" w:after="283"/>
              <w:jc w:val="right"/>
              <w:rPr>
                <w:sz w:val="20"/>
              </w:rPr>
            </w:pPr>
            <w:r>
              <w:rPr>
                <w:sz w:val="20"/>
              </w:rPr>
              <w:t>-</w:t>
            </w:r>
          </w:p>
        </w:tc>
        <w:tc>
          <w:tcPr>
            <w:tcW w:w="698" w:type="dxa"/>
            <w:tcBorders/>
            <w:shd w:fill="FFFFFF" w:val="clear"/>
            <w:vAlign w:val="center"/>
          </w:tcPr>
          <w:p>
            <w:pPr>
              <w:pStyle w:val="TableContents"/>
              <w:bidi w:val="0"/>
              <w:spacing w:before="0" w:after="283"/>
              <w:jc w:val="right"/>
              <w:rPr>
                <w:sz w:val="20"/>
              </w:rPr>
            </w:pPr>
            <w:r>
              <w:rPr>
                <w:sz w:val="20"/>
              </w:rPr>
              <w:t>-</w:t>
            </w:r>
          </w:p>
        </w:tc>
        <w:tc>
          <w:tcPr>
            <w:tcW w:w="3490" w:type="dxa"/>
            <w:tcBorders/>
            <w:shd w:fill="FFFFFF" w:val="clear"/>
            <w:vAlign w:val="center"/>
          </w:tcPr>
          <w:p>
            <w:pPr>
              <w:pStyle w:val="TableContents"/>
              <w:bidi w:val="0"/>
              <w:spacing w:before="0" w:after="283"/>
              <w:jc w:val="right"/>
              <w:rPr>
                <w:sz w:val="20"/>
              </w:rPr>
            </w:pPr>
            <w:r>
              <w:rPr>
                <w:sz w:val="20"/>
              </w:rPr>
              <w:t>(2,492)</w:t>
            </w:r>
          </w:p>
        </w:tc>
      </w:tr>
      <w:tr>
        <w:trPr/>
        <w:tc>
          <w:tcPr>
            <w:tcW w:w="2507" w:type="dxa"/>
            <w:tcBorders/>
            <w:shd w:fill="D5EAEA" w:val="clear"/>
            <w:vAlign w:val="center"/>
          </w:tcPr>
          <w:p>
            <w:pPr>
              <w:pStyle w:val="TableContents"/>
              <w:bidi w:val="0"/>
              <w:spacing w:before="0" w:after="283"/>
              <w:jc w:val="left"/>
              <w:rPr>
                <w:sz w:val="20"/>
              </w:rPr>
            </w:pPr>
            <w:r>
              <w:rPr>
                <w:sz w:val="20"/>
              </w:rPr>
              <w:t>Lease liabilities</w:t>
            </w:r>
          </w:p>
        </w:tc>
        <w:tc>
          <w:tcPr>
            <w:tcW w:w="782" w:type="dxa"/>
            <w:tcBorders/>
            <w:shd w:fill="D5EAEA" w:val="clear"/>
            <w:vAlign w:val="center"/>
          </w:tcPr>
          <w:p>
            <w:pPr>
              <w:pStyle w:val="TableContents"/>
              <w:bidi w:val="0"/>
              <w:spacing w:before="0" w:after="283"/>
              <w:jc w:val="right"/>
              <w:rPr>
                <w:sz w:val="20"/>
              </w:rPr>
            </w:pPr>
            <w:r>
              <w:rPr>
                <w:sz w:val="20"/>
              </w:rPr>
              <w:t>(5,038)</w:t>
            </w:r>
          </w:p>
        </w:tc>
        <w:tc>
          <w:tcPr>
            <w:tcW w:w="659" w:type="dxa"/>
            <w:tcBorders/>
            <w:shd w:fill="D5EAEA" w:val="clear"/>
            <w:vAlign w:val="center"/>
          </w:tcPr>
          <w:p>
            <w:pPr>
              <w:pStyle w:val="TableContents"/>
              <w:bidi w:val="0"/>
              <w:spacing w:before="0" w:after="283"/>
              <w:jc w:val="right"/>
              <w:rPr>
                <w:sz w:val="20"/>
              </w:rPr>
            </w:pPr>
            <w:r>
              <w:rPr>
                <w:sz w:val="20"/>
              </w:rPr>
              <w:t>-</w:t>
            </w:r>
          </w:p>
        </w:tc>
        <w:tc>
          <w:tcPr>
            <w:tcW w:w="704" w:type="dxa"/>
            <w:tcBorders/>
            <w:shd w:fill="D5EAEA" w:val="clear"/>
            <w:vAlign w:val="center"/>
          </w:tcPr>
          <w:p>
            <w:pPr>
              <w:pStyle w:val="TableContents"/>
              <w:bidi w:val="0"/>
              <w:spacing w:before="0" w:after="283"/>
              <w:jc w:val="right"/>
              <w:rPr>
                <w:sz w:val="20"/>
              </w:rPr>
            </w:pPr>
            <w:r>
              <w:rPr>
                <w:sz w:val="20"/>
              </w:rPr>
              <w:t>(2,824)</w:t>
            </w:r>
          </w:p>
        </w:tc>
        <w:tc>
          <w:tcPr>
            <w:tcW w:w="686" w:type="dxa"/>
            <w:tcBorders/>
            <w:shd w:fill="D5EAEA" w:val="clear"/>
            <w:vAlign w:val="center"/>
          </w:tcPr>
          <w:p>
            <w:pPr>
              <w:pStyle w:val="TableContents"/>
              <w:bidi w:val="0"/>
              <w:spacing w:before="0" w:after="283"/>
              <w:jc w:val="right"/>
              <w:rPr>
                <w:sz w:val="20"/>
              </w:rPr>
            </w:pPr>
            <w:r>
              <w:rPr>
                <w:sz w:val="20"/>
              </w:rPr>
              <w:t>(1,547)</w:t>
            </w:r>
          </w:p>
        </w:tc>
        <w:tc>
          <w:tcPr>
            <w:tcW w:w="679" w:type="dxa"/>
            <w:tcBorders/>
            <w:shd w:fill="D5EAEA" w:val="clear"/>
            <w:vAlign w:val="center"/>
          </w:tcPr>
          <w:p>
            <w:pPr>
              <w:pStyle w:val="TableContents"/>
              <w:bidi w:val="0"/>
              <w:spacing w:before="0" w:after="283"/>
              <w:jc w:val="right"/>
              <w:rPr>
                <w:sz w:val="20"/>
              </w:rPr>
            </w:pPr>
            <w:r>
              <w:rPr>
                <w:sz w:val="20"/>
              </w:rPr>
              <w:t>(7,436)</w:t>
            </w:r>
          </w:p>
        </w:tc>
        <w:tc>
          <w:tcPr>
            <w:tcW w:w="698" w:type="dxa"/>
            <w:tcBorders/>
            <w:shd w:fill="D5EAEA" w:val="clear"/>
            <w:vAlign w:val="center"/>
          </w:tcPr>
          <w:p>
            <w:pPr>
              <w:pStyle w:val="TableContents"/>
              <w:bidi w:val="0"/>
              <w:spacing w:before="0" w:after="283"/>
              <w:jc w:val="right"/>
              <w:rPr>
                <w:sz w:val="20"/>
              </w:rPr>
            </w:pPr>
            <w:r>
              <w:rPr>
                <w:sz w:val="20"/>
              </w:rPr>
              <w:t>-</w:t>
            </w:r>
          </w:p>
        </w:tc>
        <w:tc>
          <w:tcPr>
            <w:tcW w:w="3490" w:type="dxa"/>
            <w:tcBorders/>
            <w:shd w:fill="D5EAEA" w:val="clear"/>
            <w:vAlign w:val="center"/>
          </w:tcPr>
          <w:p>
            <w:pPr>
              <w:pStyle w:val="TableContents"/>
              <w:bidi w:val="0"/>
              <w:spacing w:before="0" w:after="283"/>
              <w:jc w:val="right"/>
              <w:rPr>
                <w:sz w:val="20"/>
              </w:rPr>
            </w:pPr>
            <w:r>
              <w:rPr>
                <w:sz w:val="20"/>
              </w:rPr>
              <w:t>(1,685)</w:t>
            </w:r>
          </w:p>
        </w:tc>
      </w:tr>
      <w:tr>
        <w:trPr/>
        <w:tc>
          <w:tcPr>
            <w:tcW w:w="2507" w:type="dxa"/>
            <w:tcBorders/>
            <w:shd w:fill="FFFFFF" w:val="clear"/>
            <w:vAlign w:val="center"/>
          </w:tcPr>
          <w:p>
            <w:pPr>
              <w:pStyle w:val="TableContents"/>
              <w:bidi w:val="0"/>
              <w:spacing w:before="0" w:after="283"/>
              <w:jc w:val="left"/>
              <w:rPr>
                <w:sz w:val="20"/>
              </w:rPr>
            </w:pPr>
            <w:r>
              <w:rPr>
                <w:sz w:val="20"/>
              </w:rPr>
              <w:t xml:space="preserve">Suppliers </w:t>
            </w:r>
          </w:p>
        </w:tc>
        <w:tc>
          <w:tcPr>
            <w:tcW w:w="782" w:type="dxa"/>
            <w:tcBorders/>
            <w:shd w:fill="FFFFFF" w:val="clear"/>
            <w:vAlign w:val="center"/>
          </w:tcPr>
          <w:p>
            <w:pPr>
              <w:pStyle w:val="TableContents"/>
              <w:bidi w:val="0"/>
              <w:spacing w:before="0" w:after="283"/>
              <w:jc w:val="right"/>
              <w:rPr>
                <w:sz w:val="20"/>
              </w:rPr>
            </w:pPr>
            <w:r>
              <w:rPr>
                <w:sz w:val="20"/>
              </w:rPr>
              <w:t>(153,634)</w:t>
            </w:r>
          </w:p>
        </w:tc>
        <w:tc>
          <w:tcPr>
            <w:tcW w:w="659" w:type="dxa"/>
            <w:tcBorders/>
            <w:shd w:fill="FFFFFF" w:val="clear"/>
            <w:vAlign w:val="center"/>
          </w:tcPr>
          <w:p>
            <w:pPr>
              <w:pStyle w:val="TableContents"/>
              <w:bidi w:val="0"/>
              <w:spacing w:before="0" w:after="283"/>
              <w:jc w:val="right"/>
              <w:rPr>
                <w:sz w:val="20"/>
              </w:rPr>
            </w:pPr>
            <w:r>
              <w:rPr>
                <w:sz w:val="20"/>
              </w:rPr>
              <w:t>(29)</w:t>
            </w:r>
          </w:p>
        </w:tc>
        <w:tc>
          <w:tcPr>
            <w:tcW w:w="704" w:type="dxa"/>
            <w:tcBorders/>
            <w:shd w:fill="FFFFFF" w:val="clear"/>
            <w:vAlign w:val="center"/>
          </w:tcPr>
          <w:p>
            <w:pPr>
              <w:pStyle w:val="TableContents"/>
              <w:bidi w:val="0"/>
              <w:spacing w:before="0" w:after="283"/>
              <w:jc w:val="right"/>
              <w:rPr>
                <w:sz w:val="20"/>
              </w:rPr>
            </w:pPr>
            <w:r>
              <w:rPr>
                <w:sz w:val="20"/>
              </w:rPr>
              <w:t>(816)</w:t>
            </w:r>
          </w:p>
        </w:tc>
        <w:tc>
          <w:tcPr>
            <w:tcW w:w="686" w:type="dxa"/>
            <w:tcBorders/>
            <w:shd w:fill="FFFFFF" w:val="clear"/>
            <w:vAlign w:val="center"/>
          </w:tcPr>
          <w:p>
            <w:pPr>
              <w:pStyle w:val="TableContents"/>
              <w:bidi w:val="0"/>
              <w:spacing w:before="0" w:after="283"/>
              <w:jc w:val="right"/>
              <w:rPr>
                <w:sz w:val="20"/>
              </w:rPr>
            </w:pPr>
            <w:r>
              <w:rPr>
                <w:sz w:val="20"/>
              </w:rPr>
              <w:t>(864)</w:t>
            </w:r>
          </w:p>
        </w:tc>
        <w:tc>
          <w:tcPr>
            <w:tcW w:w="679" w:type="dxa"/>
            <w:tcBorders/>
            <w:shd w:fill="FFFFFF" w:val="clear"/>
            <w:vAlign w:val="center"/>
          </w:tcPr>
          <w:p>
            <w:pPr>
              <w:pStyle w:val="TableContents"/>
              <w:bidi w:val="0"/>
              <w:spacing w:before="0" w:after="283"/>
              <w:jc w:val="right"/>
              <w:rPr>
                <w:sz w:val="20"/>
              </w:rPr>
            </w:pPr>
            <w:r>
              <w:rPr>
                <w:sz w:val="20"/>
              </w:rPr>
              <w:t>(6,629)</w:t>
            </w:r>
          </w:p>
        </w:tc>
        <w:tc>
          <w:tcPr>
            <w:tcW w:w="698" w:type="dxa"/>
            <w:tcBorders/>
            <w:shd w:fill="FFFFFF" w:val="clear"/>
            <w:vAlign w:val="center"/>
          </w:tcPr>
          <w:p>
            <w:pPr>
              <w:pStyle w:val="TableContents"/>
              <w:bidi w:val="0"/>
              <w:spacing w:before="0" w:after="283"/>
              <w:jc w:val="right"/>
              <w:rPr>
                <w:sz w:val="20"/>
              </w:rPr>
            </w:pPr>
            <w:r>
              <w:rPr>
                <w:sz w:val="20"/>
              </w:rPr>
              <w:t>(245)</w:t>
            </w:r>
          </w:p>
        </w:tc>
        <w:tc>
          <w:tcPr>
            <w:tcW w:w="3490" w:type="dxa"/>
            <w:tcBorders/>
            <w:shd w:fill="FFFFFF" w:val="clear"/>
            <w:vAlign w:val="center"/>
          </w:tcPr>
          <w:p>
            <w:pPr>
              <w:pStyle w:val="TableContents"/>
              <w:bidi w:val="0"/>
              <w:spacing w:before="0" w:after="283"/>
              <w:jc w:val="right"/>
              <w:rPr>
                <w:sz w:val="20"/>
              </w:rPr>
            </w:pPr>
            <w:r>
              <w:rPr>
                <w:sz w:val="20"/>
              </w:rPr>
              <w:t>(16,222)</w:t>
            </w:r>
          </w:p>
        </w:tc>
      </w:tr>
      <w:tr>
        <w:trPr/>
        <w:tc>
          <w:tcPr>
            <w:tcW w:w="2507" w:type="dxa"/>
            <w:tcBorders/>
            <w:shd w:fill="D5EAEA" w:val="clear"/>
            <w:vAlign w:val="center"/>
          </w:tcPr>
          <w:p>
            <w:pPr>
              <w:pStyle w:val="TableContents"/>
              <w:bidi w:val="0"/>
              <w:spacing w:before="0" w:after="283"/>
              <w:jc w:val="left"/>
              <w:rPr>
                <w:sz w:val="20"/>
              </w:rPr>
            </w:pPr>
            <w:r>
              <w:rPr>
                <w:sz w:val="20"/>
              </w:rPr>
              <w:t>Loans</w:t>
            </w:r>
          </w:p>
        </w:tc>
        <w:tc>
          <w:tcPr>
            <w:tcW w:w="782" w:type="dxa"/>
            <w:tcBorders/>
            <w:shd w:fill="D5EAEA" w:val="clear"/>
            <w:vAlign w:val="center"/>
          </w:tcPr>
          <w:p>
            <w:pPr>
              <w:pStyle w:val="TableContents"/>
              <w:bidi w:val="0"/>
              <w:spacing w:before="0" w:after="283"/>
              <w:jc w:val="right"/>
              <w:rPr>
                <w:sz w:val="20"/>
              </w:rPr>
            </w:pPr>
            <w:r>
              <w:rPr>
                <w:sz w:val="20"/>
              </w:rPr>
              <w:t>34</w:t>
            </w:r>
          </w:p>
        </w:tc>
        <w:tc>
          <w:tcPr>
            <w:tcW w:w="659" w:type="dxa"/>
            <w:tcBorders/>
            <w:shd w:fill="D5EAEA" w:val="clear"/>
            <w:vAlign w:val="center"/>
          </w:tcPr>
          <w:p>
            <w:pPr>
              <w:pStyle w:val="TableContents"/>
              <w:bidi w:val="0"/>
              <w:spacing w:before="0" w:after="283"/>
              <w:jc w:val="right"/>
              <w:rPr>
                <w:sz w:val="20"/>
              </w:rPr>
            </w:pPr>
            <w:r>
              <w:rPr>
                <w:sz w:val="20"/>
              </w:rPr>
              <w:t>-</w:t>
            </w:r>
          </w:p>
        </w:tc>
        <w:tc>
          <w:tcPr>
            <w:tcW w:w="704" w:type="dxa"/>
            <w:tcBorders/>
            <w:shd w:fill="D5EAEA" w:val="clear"/>
            <w:vAlign w:val="center"/>
          </w:tcPr>
          <w:p>
            <w:pPr>
              <w:pStyle w:val="TableContents"/>
              <w:bidi w:val="0"/>
              <w:spacing w:before="0" w:after="283"/>
              <w:jc w:val="right"/>
              <w:rPr>
                <w:sz w:val="20"/>
              </w:rPr>
            </w:pPr>
            <w:r>
              <w:rPr>
                <w:sz w:val="20"/>
              </w:rPr>
              <w:t>5</w:t>
            </w:r>
          </w:p>
        </w:tc>
        <w:tc>
          <w:tcPr>
            <w:tcW w:w="686" w:type="dxa"/>
            <w:tcBorders/>
            <w:shd w:fill="D5EAEA" w:val="clear"/>
            <w:vAlign w:val="center"/>
          </w:tcPr>
          <w:p>
            <w:pPr>
              <w:pStyle w:val="TableContents"/>
              <w:bidi w:val="0"/>
              <w:spacing w:before="0" w:after="283"/>
              <w:jc w:val="right"/>
              <w:rPr>
                <w:sz w:val="20"/>
              </w:rPr>
            </w:pPr>
            <w:r>
              <w:rPr>
                <w:sz w:val="20"/>
              </w:rPr>
              <w:t>-</w:t>
            </w:r>
          </w:p>
        </w:tc>
        <w:tc>
          <w:tcPr>
            <w:tcW w:w="679" w:type="dxa"/>
            <w:tcBorders/>
            <w:shd w:fill="D5EAEA" w:val="clear"/>
            <w:vAlign w:val="center"/>
          </w:tcPr>
          <w:p>
            <w:pPr>
              <w:pStyle w:val="TableContents"/>
              <w:bidi w:val="0"/>
              <w:spacing w:before="0" w:after="283"/>
              <w:jc w:val="right"/>
              <w:rPr>
                <w:sz w:val="20"/>
              </w:rPr>
            </w:pPr>
            <w:r>
              <w:rPr>
                <w:sz w:val="20"/>
              </w:rPr>
              <w:t>-</w:t>
            </w:r>
          </w:p>
        </w:tc>
        <w:tc>
          <w:tcPr>
            <w:tcW w:w="698" w:type="dxa"/>
            <w:tcBorders/>
            <w:shd w:fill="D5EAEA" w:val="clear"/>
            <w:vAlign w:val="center"/>
          </w:tcPr>
          <w:p>
            <w:pPr>
              <w:pStyle w:val="TableContents"/>
              <w:bidi w:val="0"/>
              <w:spacing w:before="0" w:after="283"/>
              <w:jc w:val="right"/>
              <w:rPr>
                <w:sz w:val="20"/>
              </w:rPr>
            </w:pPr>
            <w:r>
              <w:rPr>
                <w:sz w:val="20"/>
              </w:rPr>
              <w:t>-</w:t>
            </w:r>
          </w:p>
        </w:tc>
        <w:tc>
          <w:tcPr>
            <w:tcW w:w="3490" w:type="dxa"/>
            <w:tcBorders/>
            <w:shd w:fill="D5EAEA" w:val="clear"/>
            <w:vAlign w:val="center"/>
          </w:tcPr>
          <w:p>
            <w:pPr>
              <w:pStyle w:val="TableContents"/>
              <w:bidi w:val="0"/>
              <w:spacing w:before="0" w:after="283"/>
              <w:jc w:val="right"/>
              <w:rPr>
                <w:sz w:val="20"/>
              </w:rPr>
            </w:pPr>
            <w:r>
              <w:rPr>
                <w:sz w:val="20"/>
              </w:rPr>
              <w:t>4</w:t>
            </w:r>
          </w:p>
        </w:tc>
      </w:tr>
      <w:tr>
        <w:trPr/>
        <w:tc>
          <w:tcPr>
            <w:tcW w:w="2507" w:type="dxa"/>
            <w:tcBorders/>
            <w:shd w:fill="FFFFFF" w:val="clear"/>
            <w:vAlign w:val="center"/>
          </w:tcPr>
          <w:p>
            <w:pPr>
              <w:pStyle w:val="TableContents"/>
              <w:bidi w:val="0"/>
              <w:spacing w:before="0" w:after="283"/>
              <w:jc w:val="left"/>
              <w:rPr>
                <w:sz w:val="20"/>
              </w:rPr>
            </w:pPr>
            <w:r>
              <w:rPr>
                <w:sz w:val="20"/>
              </w:rPr>
              <w:t xml:space="preserve">Other financial assets </w:t>
            </w:r>
          </w:p>
        </w:tc>
        <w:tc>
          <w:tcPr>
            <w:tcW w:w="782" w:type="dxa"/>
            <w:tcBorders/>
            <w:shd w:fill="FFFFFF" w:val="clear"/>
            <w:vAlign w:val="center"/>
          </w:tcPr>
          <w:p>
            <w:pPr>
              <w:pStyle w:val="TableContents"/>
              <w:bidi w:val="0"/>
              <w:spacing w:before="0" w:after="283"/>
              <w:jc w:val="right"/>
              <w:rPr>
                <w:sz w:val="20"/>
              </w:rPr>
            </w:pPr>
            <w:r>
              <w:rPr>
                <w:sz w:val="20"/>
              </w:rPr>
              <w:t>-</w:t>
            </w:r>
          </w:p>
        </w:tc>
        <w:tc>
          <w:tcPr>
            <w:tcW w:w="659" w:type="dxa"/>
            <w:tcBorders/>
            <w:shd w:fill="FFFFFF" w:val="clear"/>
            <w:vAlign w:val="center"/>
          </w:tcPr>
          <w:p>
            <w:pPr>
              <w:pStyle w:val="TableContents"/>
              <w:bidi w:val="0"/>
              <w:spacing w:before="0" w:after="283"/>
              <w:jc w:val="right"/>
              <w:rPr>
                <w:sz w:val="20"/>
              </w:rPr>
            </w:pPr>
            <w:r>
              <w:rPr>
                <w:sz w:val="20"/>
              </w:rPr>
              <w:t>-</w:t>
            </w:r>
          </w:p>
        </w:tc>
        <w:tc>
          <w:tcPr>
            <w:tcW w:w="704" w:type="dxa"/>
            <w:tcBorders/>
            <w:shd w:fill="FFFFFF" w:val="clear"/>
            <w:vAlign w:val="center"/>
          </w:tcPr>
          <w:p>
            <w:pPr>
              <w:pStyle w:val="TableContents"/>
              <w:bidi w:val="0"/>
              <w:spacing w:before="0" w:after="283"/>
              <w:jc w:val="right"/>
              <w:rPr>
                <w:sz w:val="20"/>
              </w:rPr>
            </w:pPr>
            <w:r>
              <w:rPr>
                <w:sz w:val="20"/>
              </w:rPr>
              <w:t>-</w:t>
            </w:r>
          </w:p>
        </w:tc>
        <w:tc>
          <w:tcPr>
            <w:tcW w:w="686" w:type="dxa"/>
            <w:tcBorders/>
            <w:shd w:fill="FFFFFF" w:val="clear"/>
            <w:vAlign w:val="center"/>
          </w:tcPr>
          <w:p>
            <w:pPr>
              <w:pStyle w:val="TableContents"/>
              <w:bidi w:val="0"/>
              <w:spacing w:before="0" w:after="283"/>
              <w:jc w:val="right"/>
              <w:rPr>
                <w:sz w:val="20"/>
              </w:rPr>
            </w:pPr>
            <w:r>
              <w:rPr>
                <w:sz w:val="20"/>
              </w:rPr>
              <w:t>-</w:t>
            </w:r>
          </w:p>
        </w:tc>
        <w:tc>
          <w:tcPr>
            <w:tcW w:w="679" w:type="dxa"/>
            <w:tcBorders/>
            <w:shd w:fill="FFFFFF" w:val="clear"/>
            <w:vAlign w:val="center"/>
          </w:tcPr>
          <w:p>
            <w:pPr>
              <w:pStyle w:val="TableContents"/>
              <w:bidi w:val="0"/>
              <w:spacing w:before="0" w:after="283"/>
              <w:jc w:val="right"/>
              <w:rPr>
                <w:sz w:val="20"/>
              </w:rPr>
            </w:pPr>
            <w:r>
              <w:rPr>
                <w:sz w:val="20"/>
              </w:rPr>
              <w:t>-</w:t>
            </w:r>
          </w:p>
        </w:tc>
        <w:tc>
          <w:tcPr>
            <w:tcW w:w="698" w:type="dxa"/>
            <w:tcBorders/>
            <w:shd w:fill="FFFFFF" w:val="clear"/>
            <w:vAlign w:val="center"/>
          </w:tcPr>
          <w:p>
            <w:pPr>
              <w:pStyle w:val="TableContents"/>
              <w:bidi w:val="0"/>
              <w:spacing w:before="0" w:after="283"/>
              <w:jc w:val="right"/>
              <w:rPr>
                <w:sz w:val="20"/>
              </w:rPr>
            </w:pPr>
            <w:r>
              <w:rPr>
                <w:sz w:val="20"/>
              </w:rPr>
              <w:t>-</w:t>
            </w:r>
          </w:p>
        </w:tc>
        <w:tc>
          <w:tcPr>
            <w:tcW w:w="3490" w:type="dxa"/>
            <w:tcBorders/>
            <w:shd w:fill="FFFFFF" w:val="clear"/>
            <w:vAlign w:val="center"/>
          </w:tcPr>
          <w:p>
            <w:pPr>
              <w:pStyle w:val="TableContents"/>
              <w:bidi w:val="0"/>
              <w:spacing w:before="0" w:after="283"/>
              <w:jc w:val="right"/>
              <w:rPr>
                <w:sz w:val="20"/>
              </w:rPr>
            </w:pPr>
            <w:r>
              <w:rPr>
                <w:sz w:val="20"/>
              </w:rPr>
              <w:t>-</w:t>
            </w:r>
          </w:p>
        </w:tc>
      </w:tr>
      <w:tr>
        <w:trPr/>
        <w:tc>
          <w:tcPr>
            <w:tcW w:w="2507" w:type="dxa"/>
            <w:tcBorders/>
            <w:shd w:fill="D5EAEA" w:val="clear"/>
            <w:vAlign w:val="center"/>
          </w:tcPr>
          <w:p>
            <w:pPr>
              <w:pStyle w:val="TableContents"/>
              <w:bidi w:val="0"/>
              <w:spacing w:before="0" w:after="283"/>
              <w:jc w:val="left"/>
              <w:rPr>
                <w:sz w:val="20"/>
              </w:rPr>
            </w:pPr>
            <w:r>
              <w:rPr>
                <w:sz w:val="20"/>
              </w:rPr>
              <w:t>Other financial liabilities</w:t>
            </w:r>
          </w:p>
        </w:tc>
        <w:tc>
          <w:tcPr>
            <w:tcW w:w="782" w:type="dxa"/>
            <w:tcBorders/>
            <w:shd w:fill="D5EAEA" w:val="clear"/>
            <w:vAlign w:val="center"/>
          </w:tcPr>
          <w:p>
            <w:pPr>
              <w:pStyle w:val="TableContents"/>
              <w:bidi w:val="0"/>
              <w:spacing w:before="0" w:after="283"/>
              <w:jc w:val="right"/>
              <w:rPr>
                <w:sz w:val="20"/>
              </w:rPr>
            </w:pPr>
            <w:r>
              <w:rPr>
                <w:sz w:val="20"/>
              </w:rPr>
              <w:t>-</w:t>
            </w:r>
          </w:p>
        </w:tc>
        <w:tc>
          <w:tcPr>
            <w:tcW w:w="659" w:type="dxa"/>
            <w:tcBorders/>
            <w:shd w:fill="D5EAEA" w:val="clear"/>
            <w:vAlign w:val="center"/>
          </w:tcPr>
          <w:p>
            <w:pPr>
              <w:pStyle w:val="TableContents"/>
              <w:bidi w:val="0"/>
              <w:spacing w:before="0" w:after="283"/>
              <w:jc w:val="right"/>
              <w:rPr>
                <w:sz w:val="20"/>
              </w:rPr>
            </w:pPr>
            <w:r>
              <w:rPr>
                <w:sz w:val="20"/>
              </w:rPr>
              <w:t>-</w:t>
            </w:r>
          </w:p>
        </w:tc>
        <w:tc>
          <w:tcPr>
            <w:tcW w:w="704" w:type="dxa"/>
            <w:tcBorders/>
            <w:shd w:fill="D5EAEA" w:val="clear"/>
            <w:vAlign w:val="center"/>
          </w:tcPr>
          <w:p>
            <w:pPr>
              <w:pStyle w:val="TableContents"/>
              <w:bidi w:val="0"/>
              <w:spacing w:before="0" w:after="283"/>
              <w:jc w:val="right"/>
              <w:rPr>
                <w:sz w:val="20"/>
              </w:rPr>
            </w:pPr>
            <w:r>
              <w:rPr>
                <w:sz w:val="20"/>
              </w:rPr>
              <w:t>-</w:t>
            </w:r>
          </w:p>
        </w:tc>
        <w:tc>
          <w:tcPr>
            <w:tcW w:w="686" w:type="dxa"/>
            <w:tcBorders/>
            <w:shd w:fill="D5EAEA" w:val="clear"/>
            <w:vAlign w:val="center"/>
          </w:tcPr>
          <w:p>
            <w:pPr>
              <w:pStyle w:val="TableContents"/>
              <w:bidi w:val="0"/>
              <w:spacing w:before="0" w:after="283"/>
              <w:jc w:val="right"/>
              <w:rPr>
                <w:sz w:val="20"/>
              </w:rPr>
            </w:pPr>
            <w:r>
              <w:rPr>
                <w:sz w:val="20"/>
              </w:rPr>
              <w:t>-</w:t>
            </w:r>
          </w:p>
        </w:tc>
        <w:tc>
          <w:tcPr>
            <w:tcW w:w="679" w:type="dxa"/>
            <w:tcBorders/>
            <w:shd w:fill="D5EAEA" w:val="clear"/>
            <w:vAlign w:val="center"/>
          </w:tcPr>
          <w:p>
            <w:pPr>
              <w:pStyle w:val="TableContents"/>
              <w:bidi w:val="0"/>
              <w:spacing w:before="0" w:after="283"/>
              <w:jc w:val="right"/>
              <w:rPr>
                <w:sz w:val="20"/>
              </w:rPr>
            </w:pPr>
            <w:r>
              <w:rPr>
                <w:sz w:val="20"/>
              </w:rPr>
              <w:t>-</w:t>
            </w:r>
          </w:p>
        </w:tc>
        <w:tc>
          <w:tcPr>
            <w:tcW w:w="698" w:type="dxa"/>
            <w:tcBorders/>
            <w:shd w:fill="D5EAEA" w:val="clear"/>
            <w:vAlign w:val="center"/>
          </w:tcPr>
          <w:p>
            <w:pPr>
              <w:pStyle w:val="TableContents"/>
              <w:bidi w:val="0"/>
              <w:spacing w:before="0" w:after="283"/>
              <w:jc w:val="right"/>
              <w:rPr>
                <w:sz w:val="20"/>
              </w:rPr>
            </w:pPr>
            <w:r>
              <w:rPr>
                <w:sz w:val="20"/>
              </w:rPr>
              <w:t>-</w:t>
            </w:r>
          </w:p>
        </w:tc>
        <w:tc>
          <w:tcPr>
            <w:tcW w:w="3490" w:type="dxa"/>
            <w:tcBorders/>
            <w:shd w:fill="D5EAEA" w:val="clear"/>
            <w:vAlign w:val="center"/>
          </w:tcPr>
          <w:p>
            <w:pPr>
              <w:pStyle w:val="TableContents"/>
              <w:bidi w:val="0"/>
              <w:spacing w:before="0" w:after="283"/>
              <w:jc w:val="right"/>
              <w:rPr>
                <w:sz w:val="20"/>
              </w:rPr>
            </w:pPr>
            <w:r>
              <w:rPr>
                <w:sz w:val="20"/>
              </w:rPr>
              <w:t>-</w:t>
            </w:r>
          </w:p>
        </w:tc>
      </w:tr>
      <w:tr>
        <w:trPr/>
        <w:tc>
          <w:tcPr>
            <w:tcW w:w="2507" w:type="dxa"/>
            <w:tcBorders/>
            <w:shd w:fill="FFFFFF" w:val="clear"/>
            <w:vAlign w:val="center"/>
          </w:tcPr>
          <w:p>
            <w:pPr>
              <w:pStyle w:val="TableContents"/>
              <w:bidi w:val="0"/>
              <w:spacing w:before="0" w:after="283"/>
              <w:jc w:val="left"/>
              <w:rPr>
                <w:sz w:val="20"/>
              </w:rPr>
            </w:pPr>
            <w:r>
              <w:rPr>
                <w:sz w:val="20"/>
              </w:rPr>
              <w:t xml:space="preserve">Gross obligation under put option </w:t>
            </w:r>
          </w:p>
        </w:tc>
        <w:tc>
          <w:tcPr>
            <w:tcW w:w="782" w:type="dxa"/>
            <w:tcBorders/>
            <w:shd w:fill="FFFFFF" w:val="clear"/>
            <w:vAlign w:val="center"/>
          </w:tcPr>
          <w:p>
            <w:pPr>
              <w:pStyle w:val="TableContents"/>
              <w:bidi w:val="0"/>
              <w:spacing w:before="0" w:after="283"/>
              <w:jc w:val="right"/>
              <w:rPr>
                <w:sz w:val="20"/>
              </w:rPr>
            </w:pPr>
            <w:r>
              <w:rPr>
                <w:sz w:val="20"/>
              </w:rPr>
              <w:t>(34,035)</w:t>
            </w:r>
          </w:p>
        </w:tc>
        <w:tc>
          <w:tcPr>
            <w:tcW w:w="659" w:type="dxa"/>
            <w:tcBorders/>
            <w:shd w:fill="FFFFFF" w:val="clear"/>
            <w:vAlign w:val="center"/>
          </w:tcPr>
          <w:p>
            <w:pPr>
              <w:pStyle w:val="TableContents"/>
              <w:bidi w:val="0"/>
              <w:spacing w:before="0" w:after="283"/>
              <w:jc w:val="right"/>
              <w:rPr>
                <w:sz w:val="20"/>
              </w:rPr>
            </w:pPr>
            <w:r>
              <w:rPr>
                <w:sz w:val="20"/>
              </w:rPr>
              <w:t>-</w:t>
            </w:r>
          </w:p>
        </w:tc>
        <w:tc>
          <w:tcPr>
            <w:tcW w:w="704" w:type="dxa"/>
            <w:tcBorders/>
            <w:shd w:fill="FFFFFF" w:val="clear"/>
            <w:vAlign w:val="center"/>
          </w:tcPr>
          <w:p>
            <w:pPr>
              <w:pStyle w:val="TableContents"/>
              <w:bidi w:val="0"/>
              <w:spacing w:before="0" w:after="283"/>
              <w:jc w:val="right"/>
              <w:rPr>
                <w:sz w:val="20"/>
              </w:rPr>
            </w:pPr>
            <w:r>
              <w:rPr>
                <w:sz w:val="20"/>
              </w:rPr>
              <w:t>-</w:t>
            </w:r>
          </w:p>
        </w:tc>
        <w:tc>
          <w:tcPr>
            <w:tcW w:w="686" w:type="dxa"/>
            <w:tcBorders/>
            <w:shd w:fill="FFFFFF" w:val="clear"/>
            <w:vAlign w:val="center"/>
          </w:tcPr>
          <w:p>
            <w:pPr>
              <w:pStyle w:val="TableContents"/>
              <w:bidi w:val="0"/>
              <w:spacing w:before="0" w:after="283"/>
              <w:jc w:val="right"/>
              <w:rPr>
                <w:sz w:val="20"/>
              </w:rPr>
            </w:pPr>
            <w:r>
              <w:rPr>
                <w:sz w:val="20"/>
              </w:rPr>
              <w:t>-</w:t>
            </w:r>
          </w:p>
        </w:tc>
        <w:tc>
          <w:tcPr>
            <w:tcW w:w="679" w:type="dxa"/>
            <w:tcBorders/>
            <w:shd w:fill="FFFFFF" w:val="clear"/>
            <w:vAlign w:val="center"/>
          </w:tcPr>
          <w:p>
            <w:pPr>
              <w:pStyle w:val="TableContents"/>
              <w:bidi w:val="0"/>
              <w:spacing w:before="0" w:after="283"/>
              <w:jc w:val="right"/>
              <w:rPr>
                <w:sz w:val="20"/>
              </w:rPr>
            </w:pPr>
            <w:r>
              <w:rPr>
                <w:sz w:val="20"/>
              </w:rPr>
              <w:t>-</w:t>
            </w:r>
          </w:p>
        </w:tc>
        <w:tc>
          <w:tcPr>
            <w:tcW w:w="698" w:type="dxa"/>
            <w:tcBorders/>
            <w:shd w:fill="FFFFFF" w:val="clear"/>
            <w:vAlign w:val="center"/>
          </w:tcPr>
          <w:p>
            <w:pPr>
              <w:pStyle w:val="TableContents"/>
              <w:bidi w:val="0"/>
              <w:spacing w:before="0" w:after="283"/>
              <w:jc w:val="right"/>
              <w:rPr>
                <w:sz w:val="20"/>
              </w:rPr>
            </w:pPr>
            <w:r>
              <w:rPr>
                <w:sz w:val="20"/>
              </w:rPr>
              <w:t>-</w:t>
            </w:r>
          </w:p>
        </w:tc>
        <w:tc>
          <w:tcPr>
            <w:tcW w:w="3490" w:type="dxa"/>
            <w:tcBorders/>
            <w:shd w:fill="FFFFFF" w:val="clear"/>
            <w:vAlign w:val="center"/>
          </w:tcPr>
          <w:p>
            <w:pPr>
              <w:pStyle w:val="TableContents"/>
              <w:bidi w:val="0"/>
              <w:spacing w:before="0" w:after="283"/>
              <w:jc w:val="right"/>
              <w:rPr>
                <w:sz w:val="20"/>
              </w:rPr>
            </w:pPr>
            <w:r>
              <w:rPr>
                <w:sz w:val="20"/>
              </w:rPr>
              <w:t>(3,403)</w:t>
            </w:r>
          </w:p>
        </w:tc>
      </w:tr>
      <w:tr>
        <w:trPr/>
        <w:tc>
          <w:tcPr>
            <w:tcW w:w="2507" w:type="dxa"/>
            <w:tcBorders/>
            <w:shd w:fill="D5EAEA" w:val="clear"/>
            <w:vAlign w:val="center"/>
          </w:tcPr>
          <w:p>
            <w:pPr>
              <w:pStyle w:val="TableContents"/>
              <w:bidi w:val="0"/>
              <w:spacing w:before="0" w:after="283"/>
              <w:jc w:val="left"/>
              <w:rPr>
                <w:sz w:val="20"/>
              </w:rPr>
            </w:pPr>
            <w:r>
              <w:rPr>
                <w:sz w:val="20"/>
              </w:rPr>
              <w:t xml:space="preserve">Consideration payable on acquisition </w:t>
            </w:r>
          </w:p>
        </w:tc>
        <w:tc>
          <w:tcPr>
            <w:tcW w:w="782" w:type="dxa"/>
            <w:tcBorders/>
            <w:shd w:fill="D5EAEA" w:val="clear"/>
            <w:vAlign w:val="center"/>
          </w:tcPr>
          <w:p>
            <w:pPr>
              <w:pStyle w:val="TableContents"/>
              <w:bidi w:val="0"/>
              <w:spacing w:before="0" w:after="283"/>
              <w:jc w:val="right"/>
              <w:rPr>
                <w:sz w:val="20"/>
              </w:rPr>
            </w:pPr>
            <w:r>
              <w:rPr>
                <w:sz w:val="20"/>
              </w:rPr>
              <w:t>(145,725)</w:t>
            </w:r>
          </w:p>
        </w:tc>
        <w:tc>
          <w:tcPr>
            <w:tcW w:w="659" w:type="dxa"/>
            <w:tcBorders/>
            <w:shd w:fill="D5EAEA" w:val="clear"/>
            <w:vAlign w:val="center"/>
          </w:tcPr>
          <w:p>
            <w:pPr>
              <w:pStyle w:val="TableContents"/>
              <w:bidi w:val="0"/>
              <w:spacing w:before="0" w:after="283"/>
              <w:jc w:val="right"/>
              <w:rPr>
                <w:sz w:val="20"/>
              </w:rPr>
            </w:pPr>
            <w:r>
              <w:rPr>
                <w:sz w:val="20"/>
              </w:rPr>
              <w:t>-</w:t>
            </w:r>
          </w:p>
        </w:tc>
        <w:tc>
          <w:tcPr>
            <w:tcW w:w="704" w:type="dxa"/>
            <w:tcBorders/>
            <w:shd w:fill="D5EAEA" w:val="clear"/>
            <w:vAlign w:val="center"/>
          </w:tcPr>
          <w:p>
            <w:pPr>
              <w:pStyle w:val="TableContents"/>
              <w:bidi w:val="0"/>
              <w:spacing w:before="0" w:after="283"/>
              <w:jc w:val="right"/>
              <w:rPr>
                <w:sz w:val="20"/>
              </w:rPr>
            </w:pPr>
            <w:r>
              <w:rPr>
                <w:sz w:val="20"/>
              </w:rPr>
              <w:t>-</w:t>
            </w:r>
          </w:p>
        </w:tc>
        <w:tc>
          <w:tcPr>
            <w:tcW w:w="686" w:type="dxa"/>
            <w:tcBorders/>
            <w:shd w:fill="D5EAEA" w:val="clear"/>
            <w:vAlign w:val="center"/>
          </w:tcPr>
          <w:p>
            <w:pPr>
              <w:pStyle w:val="TableContents"/>
              <w:bidi w:val="0"/>
              <w:spacing w:before="0" w:after="283"/>
              <w:jc w:val="right"/>
              <w:rPr>
                <w:sz w:val="20"/>
              </w:rPr>
            </w:pPr>
            <w:r>
              <w:rPr>
                <w:sz w:val="20"/>
              </w:rPr>
              <w:t>-</w:t>
            </w:r>
          </w:p>
        </w:tc>
        <w:tc>
          <w:tcPr>
            <w:tcW w:w="679" w:type="dxa"/>
            <w:tcBorders/>
            <w:shd w:fill="D5EAEA" w:val="clear"/>
            <w:vAlign w:val="center"/>
          </w:tcPr>
          <w:p>
            <w:pPr>
              <w:pStyle w:val="TableContents"/>
              <w:bidi w:val="0"/>
              <w:spacing w:before="0" w:after="283"/>
              <w:jc w:val="right"/>
              <w:rPr>
                <w:sz w:val="20"/>
              </w:rPr>
            </w:pPr>
            <w:r>
              <w:rPr>
                <w:sz w:val="20"/>
              </w:rPr>
              <w:t>-</w:t>
            </w:r>
          </w:p>
        </w:tc>
        <w:tc>
          <w:tcPr>
            <w:tcW w:w="698" w:type="dxa"/>
            <w:tcBorders/>
            <w:shd w:fill="D5EAEA" w:val="clear"/>
            <w:vAlign w:val="center"/>
          </w:tcPr>
          <w:p>
            <w:pPr>
              <w:pStyle w:val="TableContents"/>
              <w:bidi w:val="0"/>
              <w:spacing w:before="0" w:after="283"/>
              <w:jc w:val="right"/>
              <w:rPr>
                <w:sz w:val="20"/>
              </w:rPr>
            </w:pPr>
            <w:r>
              <w:rPr>
                <w:sz w:val="20"/>
              </w:rPr>
              <w:t>4,973</w:t>
            </w:r>
          </w:p>
        </w:tc>
        <w:tc>
          <w:tcPr>
            <w:tcW w:w="3490" w:type="dxa"/>
            <w:tcBorders/>
            <w:shd w:fill="D5EAEA" w:val="clear"/>
            <w:vAlign w:val="center"/>
          </w:tcPr>
          <w:p>
            <w:pPr>
              <w:pStyle w:val="TableContents"/>
              <w:bidi w:val="0"/>
              <w:spacing w:before="0" w:after="283"/>
              <w:jc w:val="right"/>
              <w:rPr>
                <w:sz w:val="20"/>
              </w:rPr>
            </w:pPr>
            <w:r>
              <w:rPr>
                <w:sz w:val="20"/>
              </w:rPr>
              <w:t>(14,075)</w:t>
            </w:r>
          </w:p>
        </w:tc>
      </w:tr>
      <w:tr>
        <w:trPr/>
        <w:tc>
          <w:tcPr>
            <w:tcW w:w="2507" w:type="dxa"/>
            <w:tcBorders/>
            <w:shd w:fill="FFFFFF" w:val="clear"/>
            <w:vAlign w:val="center"/>
          </w:tcPr>
          <w:p>
            <w:pPr>
              <w:pStyle w:val="TableContents"/>
              <w:bidi w:val="0"/>
              <w:spacing w:before="0" w:after="283"/>
              <w:jc w:val="left"/>
              <w:rPr>
                <w:sz w:val="20"/>
              </w:rPr>
            </w:pPr>
            <w:r>
              <w:rPr>
                <w:sz w:val="20"/>
              </w:rPr>
              <w:t xml:space="preserve">Contingent consideration payable on acquisition </w:t>
            </w:r>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34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r>
      <w:tr>
        <w:trPr/>
        <w:tc>
          <w:tcPr>
            <w:tcW w:w="2507" w:type="dxa"/>
            <w:tcBorders/>
            <w:shd w:fill="D5EAEA" w:val="clear"/>
            <w:vAlign w:val="center"/>
          </w:tcPr>
          <w:p>
            <w:pPr>
              <w:pStyle w:val="TableContents"/>
              <w:bidi w:val="0"/>
              <w:spacing w:before="0" w:after="283"/>
              <w:jc w:val="left"/>
              <w:rPr>
                <w:b/>
                <w:sz w:val="20"/>
              </w:rPr>
            </w:pPr>
            <w:r>
              <w:rPr>
                <w:b/>
                <w:sz w:val="20"/>
              </w:rPr>
              <w:t xml:space="preserve">Net Impact </w:t>
            </w:r>
          </w:p>
        </w:tc>
        <w:tc>
          <w:tcPr>
            <w:tcW w:w="782"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(112,362)</w:t>
            </w:r>
          </w:p>
        </w:tc>
        <w:tc>
          <w:tcPr>
            <w:tcW w:w="659"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1,619</w:t>
            </w:r>
          </w:p>
        </w:tc>
        <w:tc>
          <w:tcPr>
            <w:tcW w:w="704"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45,137</w:t>
            </w:r>
          </w:p>
        </w:tc>
        <w:tc>
          <w:tcPr>
            <w:tcW w:w="686"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15,858</w:t>
            </w:r>
          </w:p>
        </w:tc>
        <w:tc>
          <w:tcPr>
            <w:tcW w:w="679"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62,169</w:t>
            </w:r>
          </w:p>
        </w:tc>
        <w:tc>
          <w:tcPr>
            <w:tcW w:w="698"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8,988</w:t>
            </w:r>
          </w:p>
        </w:tc>
        <w:tc>
          <w:tcPr>
            <w:tcW w:w="3490" w:type="dxa"/>
            <w:tcBorders>
              <w:bottom w:val="double" w:sz="4" w:space="0" w:color="000000"/>
            </w:tcBorders>
            <w:shd w:fill="D5EAEA" w:val="clear"/>
            <w:tcMar>
              <w:bottom w:w="28" w:type="dxa"/>
            </w:tcMar>
            <w:vAlign w:val="center"/>
          </w:tcPr>
          <w:p>
            <w:pPr>
              <w:pStyle w:val="TableContents"/>
              <w:bidi w:val="0"/>
              <w:spacing w:before="0" w:after="283"/>
              <w:jc w:val="right"/>
              <w:rPr>
                <w:b/>
                <w:sz w:val="20"/>
              </w:rPr>
            </w:pPr>
            <w:r>
              <w:rPr>
                <w:b/>
                <w:sz w:val="20"/>
              </w:rPr>
              <w:t>2,141</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BRL - Brazilian Real, (b) HKD - Hong Kong dollar, (c) CLP - Chilean Peso, (d) COP - Colombian Peso, (e) GBP - Pound Sterling (f) Other - Mexican Peso &amp; Peruvian Nuevo Sol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35"/>
        <w:gridCol w:w="1430"/>
      </w:tblGrid>
      <w:tr>
        <w:trPr/>
        <w:tc>
          <w:tcPr>
            <w:tcW w:w="335" w:type="dxa"/>
            <w:tcBorders/>
            <w:vAlign w:val="center"/>
          </w:tcPr>
          <w:p>
            <w:pPr>
              <w:pStyle w:val="TableContents"/>
              <w:bidi w:val="0"/>
              <w:spacing w:before="0" w:after="283"/>
              <w:jc w:val="left"/>
              <w:rPr/>
            </w:pPr>
            <w:r>
              <w:rPr/>
              <w:t>32.</w:t>
            </w:r>
          </w:p>
        </w:tc>
        <w:tc>
          <w:tcPr>
            <w:tcW w:w="1430" w:type="dxa"/>
            <w:tcBorders/>
            <w:vAlign w:val="center"/>
          </w:tcPr>
          <w:p>
            <w:pPr>
              <w:pStyle w:val="TableContents"/>
              <w:bidi w:val="0"/>
              <w:spacing w:before="0" w:after="283"/>
              <w:jc w:val="left"/>
              <w:rPr/>
            </w:pPr>
            <w:r>
              <w:rPr/>
              <w:t>Related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31"/>
        <w:gridCol w:w="9260"/>
      </w:tblGrid>
      <w:tr>
        <w:trPr/>
        <w:tc>
          <w:tcPr>
            <w:tcW w:w="11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260" w:type="dxa"/>
            <w:tcBorders/>
            <w:vAlign w:val="center"/>
          </w:tcPr>
          <w:p>
            <w:pPr>
              <w:pStyle w:val="TableContents"/>
              <w:bidi w:val="0"/>
              <w:spacing w:before="0" w:after="283"/>
              <w:jc w:val="both"/>
              <w:rPr>
                <w:caps w:val="false"/>
                <w:smallCaps w:val="false"/>
              </w:rPr>
            </w:pPr>
            <w:r>
              <w:rPr>
                <w:caps w:val="false"/>
                <w:smallCaps w:val="false"/>
              </w:rPr>
              <w:t>Key management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3" w:right="11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paid to directors and officers for their roles as executives for the six-month periods ended June 30, 2026, and 2025 included in “Personnel expenses” are shown below:</w:t>
      </w:r>
    </w:p>
    <w:p>
      <w:pPr>
        <w:pStyle w:val="TextBody"/>
        <w:bidi w:val="0"/>
        <w:spacing w:before="0" w:after="0"/>
        <w:ind w:left="113" w:right="113" w:hanging="0"/>
        <w:jc w:val="both"/>
        <w:rPr>
          <w:caps w:val="false"/>
          <w:smallCaps w:val="false"/>
        </w:rPr>
      </w:pPr>
      <w:r>
        <w:rPr>
          <w:caps w:val="false"/>
          <w:smallCaps w:val="false"/>
        </w:rPr>
        <w:t> </w:t>
      </w:r>
    </w:p>
    <w:tbl>
      <w:tblPr>
        <w:tblW w:w="7229" w:type="dxa"/>
        <w:jc w:val="center"/>
        <w:tblInd w:w="0" w:type="dxa"/>
        <w:tblLayout w:type="fixed"/>
        <w:tblCellMar>
          <w:top w:w="0" w:type="dxa"/>
          <w:left w:w="0" w:type="dxa"/>
          <w:bottom w:w="0" w:type="dxa"/>
          <w:right w:w="0" w:type="dxa"/>
        </w:tblCellMar>
      </w:tblPr>
      <w:tblGrid>
        <w:gridCol w:w="2630"/>
        <w:gridCol w:w="1195"/>
        <w:gridCol w:w="1195"/>
        <w:gridCol w:w="1091"/>
        <w:gridCol w:w="1118"/>
      </w:tblGrid>
      <w:tr>
        <w:trPr/>
        <w:tc>
          <w:tcPr>
            <w:tcW w:w="2630" w:type="dxa"/>
            <w:tcBorders/>
            <w:vAlign w:val="center"/>
          </w:tcPr>
          <w:p>
            <w:pPr>
              <w:pStyle w:val="TableContents"/>
              <w:bidi w:val="0"/>
              <w:spacing w:before="0" w:after="283"/>
              <w:jc w:val="left"/>
              <w:rPr/>
            </w:pPr>
            <w:r>
              <w:rPr/>
              <w:t> </w:t>
            </w:r>
          </w:p>
        </w:tc>
        <w:tc>
          <w:tcPr>
            <w:tcW w:w="239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Three-month periods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June30,</w:t>
            </w:r>
          </w:p>
        </w:tc>
        <w:tc>
          <w:tcPr>
            <w:tcW w:w="2209" w:type="dxa"/>
            <w:gridSpan w:val="2"/>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Six-month periods ended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June30,</w:t>
            </w:r>
            <w:r>
              <w:rPr>
                <w:rFonts w:ascii="Times New Roman;Times;Serif" w:hAnsi="Times New Roman;Times;Serif"/>
                <w:b w:val="false"/>
                <w:i w:val="false"/>
                <w:caps w:val="false"/>
                <w:smallCaps w:val="false"/>
                <w:sz w:val="20"/>
              </w:rPr>
              <w:t> </w:t>
            </w:r>
          </w:p>
        </w:tc>
      </w:tr>
      <w:tr>
        <w:trPr/>
        <w:tc>
          <w:tcPr>
            <w:tcW w:w="2630" w:type="dxa"/>
            <w:tcBorders/>
            <w:vAlign w:val="center"/>
          </w:tcPr>
          <w:p>
            <w:pPr>
              <w:pStyle w:val="TableContents"/>
              <w:bidi w:val="0"/>
              <w:spacing w:before="0" w:after="283"/>
              <w:jc w:val="left"/>
              <w:rPr/>
            </w:pPr>
            <w:r>
              <w:rPr/>
              <w:t> </w:t>
            </w:r>
          </w:p>
        </w:tc>
        <w:tc>
          <w:tcPr>
            <w:tcW w:w="119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19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09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11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2630" w:type="dxa"/>
            <w:tcBorders/>
            <w:shd w:fill="D5EAEA" w:val="clear"/>
            <w:vAlign w:val="center"/>
          </w:tcPr>
          <w:p>
            <w:pPr>
              <w:pStyle w:val="TableContents"/>
              <w:bidi w:val="0"/>
              <w:spacing w:before="0" w:after="283"/>
              <w:jc w:val="left"/>
              <w:rPr>
                <w:sz w:val="20"/>
              </w:rPr>
            </w:pPr>
            <w:r>
              <w:rPr>
                <w:sz w:val="20"/>
              </w:rPr>
              <w:t>Key management compensation</w:t>
            </w:r>
          </w:p>
        </w:tc>
        <w:tc>
          <w:tcPr>
            <w:tcW w:w="1195"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(2,501)</w:t>
            </w:r>
          </w:p>
        </w:tc>
        <w:tc>
          <w:tcPr>
            <w:tcW w:w="1195"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(2,322)</w:t>
            </w:r>
          </w:p>
        </w:tc>
        <w:tc>
          <w:tcPr>
            <w:tcW w:w="1091"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(4,598)</w:t>
            </w:r>
          </w:p>
        </w:tc>
        <w:tc>
          <w:tcPr>
            <w:tcW w:w="1118"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(4,628)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six-month period ended June 30, 2026, the Company has accrued US$ 3.3 million (six-month period ended June 30, 2025: US$ 6.1 million) as bonuses payable to key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for the six-month period ended June 30, 2026, the Company accrued US$ 0.5 million (six-month period ended June 30, 2025: US$ 0.4 million) as a Strategic Bonus payable to key management with US$ 2.5 million payable as of June 30, 2026 (December 31, 2025: US$ 1.3 million). The accruals for key management and strategic bonuses provided for are included in "Personnel expenses".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173"/>
        <w:gridCol w:w="8879"/>
      </w:tblGrid>
      <w:tr>
        <w:trPr/>
        <w:tc>
          <w:tcPr>
            <w:tcW w:w="15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8879" w:type="dxa"/>
            <w:tcBorders/>
            <w:vAlign w:val="center"/>
          </w:tcPr>
          <w:p>
            <w:pPr>
              <w:pStyle w:val="TableContents"/>
              <w:bidi w:val="0"/>
              <w:spacing w:before="0" w:after="283"/>
              <w:jc w:val="both"/>
              <w:rPr>
                <w:caps w:val="false"/>
                <w:smallCaps w:val="false"/>
              </w:rPr>
            </w:pPr>
            <w:r>
              <w:rPr>
                <w:caps w:val="false"/>
                <w:smallCaps w:val="false"/>
              </w:rPr>
              <w:t>Deferred consideration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21(b)(c), deferred consideration is payable to the management of CSHG and GPMS. The deferred consideration payable to Moneda management was finalized and paid for by issuing 2,423,546 Class A common shares on January 31, 2025.</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113"/>
        <w:gridCol w:w="8939"/>
      </w:tblGrid>
      <w:tr>
        <w:trPr/>
        <w:tc>
          <w:tcPr>
            <w:tcW w:w="15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both"/>
              <w:rPr>
                <w:caps w:val="false"/>
                <w:smallCaps w:val="false"/>
              </w:rPr>
            </w:pPr>
            <w:r>
              <w:rPr>
                <w:caps w:val="false"/>
                <w:smallCaps w:val="false"/>
              </w:rPr>
              <w:t>Long-term investments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purchased shares on behalf of PBPE General Partner V, Ltd.’s investment fund Private Equity Fund V (PE V) in Lavoro Agro Limited (“Lavoro”) for approximately US$8.2 million. Lavoro was a private equity investment of PE V prior to going public and entering into a business combination (closed February 28, 2023) with an independent SPAC entity, formerly known as TPB Acquisition Corporation I.</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65"/>
        <w:gridCol w:w="9001"/>
      </w:tblGrid>
      <w:tr>
        <w:trPr/>
        <w:tc>
          <w:tcPr>
            <w:tcW w:w="13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pPr>
            <w:r>
              <w:rPr/>
              <w:t>(d)</w:t>
            </w:r>
          </w:p>
        </w:tc>
        <w:tc>
          <w:tcPr>
            <w:tcW w:w="9001" w:type="dxa"/>
            <w:tcBorders/>
            <w:vAlign w:val="center"/>
          </w:tcPr>
          <w:p>
            <w:pPr>
              <w:pStyle w:val="TableContents"/>
              <w:bidi w:val="0"/>
              <w:spacing w:before="0" w:after="283"/>
              <w:jc w:val="both"/>
              <w:rPr>
                <w:caps w:val="false"/>
                <w:smallCaps w:val="false"/>
              </w:rPr>
            </w:pPr>
            <w:r>
              <w:rPr>
                <w:caps w:val="false"/>
                <w:smallCaps w:val="false"/>
              </w:rPr>
              <w:t>Carried interest allocation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23(a), up to 35% of the performance fee receivable from certain of the Company’s investment funds are payable to the Company’s employees.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78"/>
        <w:gridCol w:w="9092"/>
      </w:tblGrid>
      <w:tr>
        <w:trPr/>
        <w:tc>
          <w:tcPr>
            <w:tcW w:w="1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pPr>
            <w:r>
              <w:rPr/>
              <w:t>(e)</w:t>
            </w:r>
          </w:p>
        </w:tc>
        <w:tc>
          <w:tcPr>
            <w:tcW w:w="9092" w:type="dxa"/>
            <w:tcBorders/>
            <w:vAlign w:val="center"/>
          </w:tcPr>
          <w:p>
            <w:pPr>
              <w:pStyle w:val="TableContents"/>
              <w:bidi w:val="0"/>
              <w:spacing w:before="0" w:after="283"/>
              <w:jc w:val="both"/>
              <w:rPr>
                <w:caps w:val="false"/>
                <w:smallCaps w:val="false"/>
              </w:rPr>
            </w:pPr>
            <w:r>
              <w:rPr>
                <w:caps w:val="false"/>
                <w:smallCaps w:val="false"/>
              </w:rPr>
              <w:t>Share based incentive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29(d), the Company has share based incentive plans to provide long-term incentives to certain employees, directors, and other eligible participants in exchange for their services.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140"/>
        <w:gridCol w:w="8889"/>
      </w:tblGrid>
      <w:tr>
        <w:trPr/>
        <w:tc>
          <w:tcPr>
            <w:tcW w:w="17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both"/>
              <w:rPr>
                <w:caps w:val="false"/>
                <w:smallCaps w:val="false"/>
              </w:rPr>
            </w:pPr>
            <w:r>
              <w:rPr>
                <w:caps w:val="false"/>
                <w:smallCaps w:val="false"/>
              </w:rPr>
              <w:t>Lease commitments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21(a) details lease payments made for various office premises and include the following leases with related parties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Moneda has a related party entity that was excluded from the Moneda acquisition. As a result, a lease contract was entered into by MAM I and MCB in 2021 and MAGF in 2022 with their related party entity Moneda III SpA (beneficially owned by Moneda’s former partners).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PLATAM leases office space in Brazil from Gestão e Transformação Infraestrutura, a service provider to portfolio companies managed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pPr>
            <w:r>
              <w:rPr/>
              <w:t>Patria Asset Management leases its office space in Medellin, Colombia, from Fondo Inmobiliario Colombia, a fund managed by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above-mentioned leases on the condensed consolidated statement of financial position and condensed consolidated statement of income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Statement of Financial Position</w:t>
      </w:r>
    </w:p>
    <w:p>
      <w:pPr>
        <w:pStyle w:val="TextBody"/>
        <w:bidi w:val="0"/>
        <w:spacing w:before="0" w:after="0"/>
        <w:ind w:left="0" w:right="0" w:hanging="0"/>
        <w:jc w:val="left"/>
        <w:rPr>
          <w:caps w:val="false"/>
          <w:smallCaps w:val="false"/>
        </w:rPr>
      </w:pPr>
      <w:r>
        <w:rPr>
          <w:caps w:val="false"/>
          <w:smallCaps w:val="false"/>
        </w:rPr>
        <w:t> </w:t>
      </w:r>
    </w:p>
    <w:tbl>
      <w:tblPr>
        <w:tblW w:w="5445" w:type="dxa"/>
        <w:jc w:val="center"/>
        <w:tblInd w:w="0" w:type="dxa"/>
        <w:tblLayout w:type="fixed"/>
        <w:tblCellMar>
          <w:top w:w="0" w:type="dxa"/>
          <w:left w:w="0" w:type="dxa"/>
          <w:bottom w:w="0" w:type="dxa"/>
          <w:right w:w="0" w:type="dxa"/>
        </w:tblCellMar>
      </w:tblPr>
      <w:tblGrid>
        <w:gridCol w:w="2600"/>
        <w:gridCol w:w="1190"/>
        <w:gridCol w:w="1655"/>
      </w:tblGrid>
      <w:tr>
        <w:trPr/>
        <w:tc>
          <w:tcPr>
            <w:tcW w:w="2600" w:type="dxa"/>
            <w:tcBorders/>
            <w:vAlign w:val="center"/>
          </w:tcPr>
          <w:p>
            <w:pPr>
              <w:pStyle w:val="TableContents"/>
              <w:bidi w:val="0"/>
              <w:spacing w:before="0" w:after="283"/>
              <w:jc w:val="left"/>
              <w:rPr>
                <w:b/>
                <w:sz w:val="20"/>
              </w:rPr>
            </w:pPr>
            <w:r>
              <w:rPr>
                <w:b/>
                <w:sz w:val="20"/>
              </w:rPr>
              <w:t>Related party lease – Santiago</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2600" w:type="dxa"/>
            <w:tcBorders>
              <w:top w:val="single" w:sz="8" w:space="0" w:color="000000"/>
            </w:tcBorders>
            <w:shd w:fill="D5EAEA" w:val="clear"/>
            <w:tcMar>
              <w:top w:w="28" w:type="dxa"/>
            </w:tcMar>
            <w:vAlign w:val="center"/>
          </w:tcPr>
          <w:p>
            <w:pPr>
              <w:pStyle w:val="TableContents"/>
              <w:bidi w:val="0"/>
              <w:spacing w:before="0" w:after="283"/>
              <w:jc w:val="left"/>
              <w:rPr>
                <w:sz w:val="20"/>
              </w:rPr>
            </w:pPr>
            <w:r>
              <w:rPr>
                <w:sz w:val="20"/>
              </w:rPr>
              <w:t xml:space="preserve">Lease liabilities (current) </w:t>
            </w:r>
          </w:p>
        </w:tc>
        <w:tc>
          <w:tcPr>
            <w:tcW w:w="1190" w:type="dxa"/>
            <w:tcBorders/>
            <w:shd w:fill="D5EAEA" w:val="clear"/>
            <w:vAlign w:val="center"/>
          </w:tcPr>
          <w:p>
            <w:pPr>
              <w:pStyle w:val="TableContents"/>
              <w:bidi w:val="0"/>
              <w:spacing w:before="0" w:after="283"/>
              <w:jc w:val="right"/>
              <w:rPr>
                <w:sz w:val="20"/>
              </w:rPr>
            </w:pPr>
            <w:r>
              <w:rPr>
                <w:sz w:val="20"/>
              </w:rPr>
              <w:t>580</w:t>
            </w:r>
          </w:p>
        </w:tc>
        <w:tc>
          <w:tcPr>
            <w:tcW w:w="1655" w:type="dxa"/>
            <w:tcBorders/>
            <w:shd w:fill="D5EAEA" w:val="clear"/>
            <w:vAlign w:val="center"/>
          </w:tcPr>
          <w:p>
            <w:pPr>
              <w:pStyle w:val="TableContents"/>
              <w:bidi w:val="0"/>
              <w:spacing w:before="0" w:after="283"/>
              <w:jc w:val="right"/>
              <w:rPr>
                <w:sz w:val="20"/>
              </w:rPr>
            </w:pPr>
            <w:r>
              <w:rPr>
                <w:sz w:val="20"/>
              </w:rPr>
              <w:t>574</w:t>
            </w:r>
          </w:p>
        </w:tc>
      </w:tr>
      <w:tr>
        <w:trPr/>
        <w:tc>
          <w:tcPr>
            <w:tcW w:w="2600" w:type="dxa"/>
            <w:tcBorders/>
            <w:shd w:fill="FFFFFF" w:val="clear"/>
            <w:vAlign w:val="center"/>
          </w:tcPr>
          <w:p>
            <w:pPr>
              <w:pStyle w:val="TableContents"/>
              <w:bidi w:val="0"/>
              <w:spacing w:before="0" w:after="283"/>
              <w:jc w:val="left"/>
              <w:rPr>
                <w:sz w:val="20"/>
              </w:rPr>
            </w:pPr>
            <w:r>
              <w:rPr>
                <w:sz w:val="20"/>
              </w:rPr>
              <w:t>Lease liabilities (non-current)</w:t>
            </w:r>
          </w:p>
        </w:tc>
        <w:tc>
          <w:tcPr>
            <w:tcW w:w="1190" w:type="dxa"/>
            <w:tcBorders/>
            <w:shd w:fill="FFFFFF" w:val="clear"/>
            <w:vAlign w:val="center"/>
          </w:tcPr>
          <w:p>
            <w:pPr>
              <w:pStyle w:val="TableContents"/>
              <w:bidi w:val="0"/>
              <w:spacing w:before="0" w:after="283"/>
              <w:jc w:val="right"/>
              <w:rPr>
                <w:sz w:val="20"/>
              </w:rPr>
            </w:pPr>
            <w:r>
              <w:rPr>
                <w:sz w:val="20"/>
              </w:rPr>
              <w:t>1,324</w:t>
            </w:r>
          </w:p>
        </w:tc>
        <w:tc>
          <w:tcPr>
            <w:tcW w:w="1655" w:type="dxa"/>
            <w:tcBorders/>
            <w:shd w:fill="FFFFFF" w:val="clear"/>
            <w:vAlign w:val="center"/>
          </w:tcPr>
          <w:p>
            <w:pPr>
              <w:pStyle w:val="TableContents"/>
              <w:bidi w:val="0"/>
              <w:spacing w:before="0" w:after="283"/>
              <w:jc w:val="right"/>
              <w:rPr>
                <w:sz w:val="20"/>
              </w:rPr>
            </w:pPr>
            <w:r>
              <w:rPr>
                <w:sz w:val="20"/>
              </w:rPr>
              <w:t>1,610</w:t>
            </w:r>
          </w:p>
        </w:tc>
      </w:tr>
    </w:tbl>
    <w:p>
      <w:pPr>
        <w:pStyle w:val="TextBody"/>
        <w:bidi w:val="0"/>
        <w:spacing w:before="0" w:after="283"/>
        <w:jc w:val="left"/>
        <w:rPr/>
      </w:pPr>
      <w:r>
        <w:rPr/>
        <w:t> </w:t>
      </w:r>
    </w:p>
    <w:tbl>
      <w:tblPr>
        <w:tblW w:w="8010" w:type="dxa"/>
        <w:jc w:val="center"/>
        <w:tblInd w:w="0" w:type="dxa"/>
        <w:tblLayout w:type="fixed"/>
        <w:tblCellMar>
          <w:top w:w="0" w:type="dxa"/>
          <w:left w:w="0" w:type="dxa"/>
          <w:bottom w:w="0" w:type="dxa"/>
          <w:right w:w="0" w:type="dxa"/>
        </w:tblCellMar>
      </w:tblPr>
      <w:tblGrid>
        <w:gridCol w:w="5165"/>
        <w:gridCol w:w="1190"/>
        <w:gridCol w:w="1655"/>
      </w:tblGrid>
      <w:tr>
        <w:trPr/>
        <w:tc>
          <w:tcPr>
            <w:tcW w:w="5165" w:type="dxa"/>
            <w:tcBorders/>
            <w:shd w:fill="FFFFFF" w:val="clear"/>
            <w:vAlign w:val="center"/>
          </w:tcPr>
          <w:p>
            <w:pPr>
              <w:pStyle w:val="TableContents"/>
              <w:bidi w:val="0"/>
              <w:spacing w:before="0" w:after="283"/>
              <w:jc w:val="left"/>
              <w:rPr>
                <w:b/>
                <w:sz w:val="20"/>
              </w:rPr>
            </w:pPr>
            <w:r>
              <w:rPr>
                <w:b/>
                <w:sz w:val="20"/>
              </w:rPr>
              <w:t>Related party lease - Gestão e Transformação Infraestrutura</w:t>
            </w:r>
          </w:p>
        </w:tc>
        <w:tc>
          <w:tcPr>
            <w:tcW w:w="1190" w:type="dxa"/>
            <w:tcBorders/>
            <w:shd w:fill="FFFFFF" w:val="clear"/>
            <w:vAlign w:val="center"/>
          </w:tcPr>
          <w:p>
            <w:pPr>
              <w:pStyle w:val="TableContents"/>
              <w:bidi w:val="0"/>
              <w:spacing w:before="0" w:after="283"/>
              <w:jc w:val="right"/>
              <w:rPr>
                <w:b/>
                <w:sz w:val="20"/>
              </w:rPr>
            </w:pPr>
            <w:r>
              <w:rPr>
                <w:b/>
                <w:sz w:val="20"/>
              </w:rPr>
              <w:t>June 30, 2026</w:t>
            </w:r>
          </w:p>
        </w:tc>
        <w:tc>
          <w:tcPr>
            <w:tcW w:w="1655" w:type="dxa"/>
            <w:tcBorders/>
            <w:shd w:fill="FFFFFF" w:val="clear"/>
            <w:vAlign w:val="center"/>
          </w:tcPr>
          <w:p>
            <w:pPr>
              <w:pStyle w:val="TableContents"/>
              <w:bidi w:val="0"/>
              <w:spacing w:before="0" w:after="283"/>
              <w:jc w:val="right"/>
              <w:rPr>
                <w:b/>
                <w:sz w:val="20"/>
              </w:rPr>
            </w:pPr>
            <w:r>
              <w:rPr>
                <w:b/>
                <w:sz w:val="20"/>
              </w:rPr>
              <w:t>December 31, 2025</w:t>
            </w:r>
          </w:p>
        </w:tc>
      </w:tr>
      <w:tr>
        <w:trPr/>
        <w:tc>
          <w:tcPr>
            <w:tcW w:w="5165" w:type="dxa"/>
            <w:tcBorders>
              <w:top w:val="single" w:sz="8" w:space="0" w:color="000000"/>
            </w:tcBorders>
            <w:shd w:fill="D5EAEA" w:val="clear"/>
            <w:tcMar>
              <w:top w:w="28" w:type="dxa"/>
            </w:tcMar>
            <w:vAlign w:val="center"/>
          </w:tcPr>
          <w:p>
            <w:pPr>
              <w:pStyle w:val="TableContents"/>
              <w:bidi w:val="0"/>
              <w:spacing w:before="0" w:after="283"/>
              <w:jc w:val="left"/>
              <w:rPr>
                <w:sz w:val="20"/>
              </w:rPr>
            </w:pPr>
            <w:r>
              <w:rPr>
                <w:sz w:val="20"/>
              </w:rPr>
              <w:t xml:space="preserve">Lease liabilities (current) </w:t>
            </w:r>
          </w:p>
        </w:tc>
        <w:tc>
          <w:tcPr>
            <w:tcW w:w="1190" w:type="dxa"/>
            <w:tcBorders>
              <w:top w:val="single" w:sz="8" w:space="0" w:color="000000"/>
            </w:tcBorders>
            <w:shd w:fill="D5EAEA" w:val="clear"/>
            <w:tcMar>
              <w:top w:w="28" w:type="dxa"/>
            </w:tcMar>
            <w:vAlign w:val="center"/>
          </w:tcPr>
          <w:p>
            <w:pPr>
              <w:pStyle w:val="TableContents"/>
              <w:bidi w:val="0"/>
              <w:spacing w:before="0" w:after="283"/>
              <w:jc w:val="right"/>
              <w:rPr>
                <w:sz w:val="20"/>
              </w:rPr>
            </w:pPr>
            <w:r>
              <w:rPr>
                <w:sz w:val="20"/>
              </w:rPr>
              <w:t>339</w:t>
            </w:r>
          </w:p>
        </w:tc>
        <w:tc>
          <w:tcPr>
            <w:tcW w:w="1655" w:type="dxa"/>
            <w:tcBorders>
              <w:top w:val="single" w:sz="8" w:space="0" w:color="000000"/>
            </w:tcBorders>
            <w:shd w:fill="D5EAEA" w:val="clear"/>
            <w:tcMar>
              <w:top w:w="28" w:type="dxa"/>
            </w:tcMar>
            <w:vAlign w:val="center"/>
          </w:tcPr>
          <w:p>
            <w:pPr>
              <w:pStyle w:val="TableContents"/>
              <w:bidi w:val="0"/>
              <w:spacing w:before="0" w:after="283"/>
              <w:jc w:val="right"/>
              <w:rPr>
                <w:sz w:val="20"/>
              </w:rPr>
            </w:pPr>
            <w:r>
              <w:rPr>
                <w:sz w:val="20"/>
              </w:rPr>
              <w:t>300</w:t>
            </w:r>
          </w:p>
        </w:tc>
      </w:tr>
      <w:tr>
        <w:trPr/>
        <w:tc>
          <w:tcPr>
            <w:tcW w:w="5165" w:type="dxa"/>
            <w:tcBorders/>
            <w:shd w:fill="FFFFFF" w:val="clear"/>
            <w:vAlign w:val="center"/>
          </w:tcPr>
          <w:p>
            <w:pPr>
              <w:pStyle w:val="TableContents"/>
              <w:bidi w:val="0"/>
              <w:spacing w:before="0" w:after="283"/>
              <w:jc w:val="left"/>
              <w:rPr>
                <w:sz w:val="20"/>
              </w:rPr>
            </w:pPr>
            <w:r>
              <w:rPr>
                <w:sz w:val="20"/>
              </w:rPr>
              <w:t>Lease liabilities (non-current)</w:t>
            </w:r>
          </w:p>
        </w:tc>
        <w:tc>
          <w:tcPr>
            <w:tcW w:w="1190" w:type="dxa"/>
            <w:tcBorders/>
            <w:shd w:fill="FFFFFF" w:val="clear"/>
            <w:vAlign w:val="center"/>
          </w:tcPr>
          <w:p>
            <w:pPr>
              <w:pStyle w:val="TableContents"/>
              <w:bidi w:val="0"/>
              <w:spacing w:before="0" w:after="283"/>
              <w:jc w:val="right"/>
              <w:rPr>
                <w:sz w:val="20"/>
              </w:rPr>
            </w:pPr>
            <w:r>
              <w:rPr>
                <w:sz w:val="20"/>
              </w:rPr>
              <w:t>818</w:t>
            </w:r>
          </w:p>
        </w:tc>
        <w:tc>
          <w:tcPr>
            <w:tcW w:w="1655" w:type="dxa"/>
            <w:tcBorders/>
            <w:shd w:fill="FFFFFF" w:val="clear"/>
            <w:vAlign w:val="center"/>
          </w:tcPr>
          <w:p>
            <w:pPr>
              <w:pStyle w:val="TableContents"/>
              <w:bidi w:val="0"/>
              <w:spacing w:before="0" w:after="283"/>
              <w:jc w:val="right"/>
              <w:rPr>
                <w:sz w:val="20"/>
              </w:rPr>
            </w:pPr>
            <w:r>
              <w:rPr>
                <w:sz w:val="20"/>
              </w:rPr>
              <w:t>934</w:t>
            </w:r>
          </w:p>
        </w:tc>
      </w:tr>
    </w:tbl>
    <w:p>
      <w:pPr>
        <w:pStyle w:val="TextBody"/>
        <w:bidi w:val="0"/>
        <w:spacing w:before="0" w:after="283"/>
        <w:jc w:val="left"/>
        <w:rPr/>
      </w:pPr>
      <w:r>
        <w:rPr/>
        <w:t> </w:t>
      </w:r>
    </w:p>
    <w:tbl>
      <w:tblPr>
        <w:tblW w:w="7215" w:type="dxa"/>
        <w:jc w:val="center"/>
        <w:tblInd w:w="0" w:type="dxa"/>
        <w:tblLayout w:type="fixed"/>
        <w:tblCellMar>
          <w:top w:w="0" w:type="dxa"/>
          <w:left w:w="0" w:type="dxa"/>
          <w:bottom w:w="0" w:type="dxa"/>
          <w:right w:w="0" w:type="dxa"/>
        </w:tblCellMar>
      </w:tblPr>
      <w:tblGrid>
        <w:gridCol w:w="4370"/>
        <w:gridCol w:w="1190"/>
        <w:gridCol w:w="1655"/>
      </w:tblGrid>
      <w:tr>
        <w:trPr/>
        <w:tc>
          <w:tcPr>
            <w:tcW w:w="4370" w:type="dxa"/>
            <w:tcBorders/>
            <w:vAlign w:val="center"/>
          </w:tcPr>
          <w:p>
            <w:pPr>
              <w:pStyle w:val="TableContents"/>
              <w:bidi w:val="0"/>
              <w:spacing w:before="0" w:after="283"/>
              <w:jc w:val="left"/>
              <w:rPr>
                <w:b/>
                <w:sz w:val="20"/>
              </w:rPr>
            </w:pPr>
            <w:r>
              <w:rPr>
                <w:b/>
                <w:sz w:val="20"/>
              </w:rPr>
              <w:t>Related party lease - Fondo Inmobiliario Colombia</w:t>
            </w:r>
          </w:p>
        </w:tc>
        <w:tc>
          <w:tcPr>
            <w:tcW w:w="11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June 30,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4370" w:type="dxa"/>
            <w:tcBorders>
              <w:top w:val="single" w:sz="8" w:space="0" w:color="000000"/>
            </w:tcBorders>
            <w:shd w:fill="D5EAEA" w:val="clear"/>
            <w:tcMar>
              <w:top w:w="28" w:type="dxa"/>
            </w:tcMar>
            <w:vAlign w:val="center"/>
          </w:tcPr>
          <w:p>
            <w:pPr>
              <w:pStyle w:val="TableContents"/>
              <w:bidi w:val="0"/>
              <w:spacing w:before="0" w:after="283"/>
              <w:jc w:val="left"/>
              <w:rPr>
                <w:sz w:val="20"/>
              </w:rPr>
            </w:pPr>
            <w:r>
              <w:rPr>
                <w:sz w:val="20"/>
              </w:rPr>
              <w:t xml:space="preserve">Lease liabilities (current) </w:t>
            </w:r>
          </w:p>
        </w:tc>
        <w:tc>
          <w:tcPr>
            <w:tcW w:w="1190" w:type="dxa"/>
            <w:tcBorders/>
            <w:shd w:fill="D5EAEA" w:val="clear"/>
            <w:vAlign w:val="center"/>
          </w:tcPr>
          <w:p>
            <w:pPr>
              <w:pStyle w:val="TableContents"/>
              <w:bidi w:val="0"/>
              <w:spacing w:before="0" w:after="283"/>
              <w:jc w:val="right"/>
              <w:rPr>
                <w:sz w:val="20"/>
              </w:rPr>
            </w:pPr>
            <w:r>
              <w:rPr>
                <w:sz w:val="20"/>
              </w:rPr>
              <w:t>83</w:t>
            </w:r>
          </w:p>
        </w:tc>
        <w:tc>
          <w:tcPr>
            <w:tcW w:w="1655" w:type="dxa"/>
            <w:tcBorders/>
            <w:shd w:fill="D5EAEA" w:val="clear"/>
            <w:vAlign w:val="center"/>
          </w:tcPr>
          <w:p>
            <w:pPr>
              <w:pStyle w:val="TableContents"/>
              <w:bidi w:val="0"/>
              <w:spacing w:before="0" w:after="283"/>
              <w:jc w:val="right"/>
              <w:rPr>
                <w:sz w:val="20"/>
              </w:rPr>
            </w:pPr>
            <w:r>
              <w:rPr>
                <w:sz w:val="20"/>
              </w:rPr>
              <w:t>67</w:t>
            </w:r>
          </w:p>
        </w:tc>
      </w:tr>
      <w:tr>
        <w:trPr/>
        <w:tc>
          <w:tcPr>
            <w:tcW w:w="4370" w:type="dxa"/>
            <w:tcBorders/>
            <w:shd w:fill="FFFFFF" w:val="clear"/>
            <w:vAlign w:val="center"/>
          </w:tcPr>
          <w:p>
            <w:pPr>
              <w:pStyle w:val="TableContents"/>
              <w:bidi w:val="0"/>
              <w:spacing w:before="0" w:after="283"/>
              <w:jc w:val="left"/>
              <w:rPr>
                <w:sz w:val="20"/>
              </w:rPr>
            </w:pPr>
            <w:r>
              <w:rPr>
                <w:sz w:val="20"/>
              </w:rPr>
              <w:t>Lease liabilities (non-current)</w:t>
            </w:r>
          </w:p>
        </w:tc>
        <w:tc>
          <w:tcPr>
            <w:tcW w:w="1190" w:type="dxa"/>
            <w:tcBorders/>
            <w:shd w:fill="FFFFFF" w:val="clear"/>
            <w:vAlign w:val="center"/>
          </w:tcPr>
          <w:p>
            <w:pPr>
              <w:pStyle w:val="TableContents"/>
              <w:bidi w:val="0"/>
              <w:spacing w:before="0" w:after="283"/>
              <w:jc w:val="right"/>
              <w:rPr>
                <w:sz w:val="20"/>
              </w:rPr>
            </w:pPr>
            <w:r>
              <w:rPr>
                <w:sz w:val="20"/>
              </w:rPr>
              <w:t>903</w:t>
            </w:r>
          </w:p>
        </w:tc>
        <w:tc>
          <w:tcPr>
            <w:tcW w:w="1655" w:type="dxa"/>
            <w:tcBorders/>
            <w:shd w:fill="FFFFFF" w:val="clear"/>
            <w:vAlign w:val="center"/>
          </w:tcPr>
          <w:p>
            <w:pPr>
              <w:pStyle w:val="TableContents"/>
              <w:bidi w:val="0"/>
              <w:spacing w:before="0" w:after="283"/>
              <w:jc w:val="right"/>
              <w:rPr>
                <w:sz w:val="20"/>
              </w:rPr>
            </w:pPr>
            <w:r>
              <w:rPr>
                <w:sz w:val="20"/>
              </w:rPr>
              <w:t>809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Statement of Profit &amp; Loss</w:t>
      </w:r>
    </w:p>
    <w:p>
      <w:pPr>
        <w:pStyle w:val="TextBody"/>
        <w:bidi w:val="0"/>
        <w:spacing w:before="0" w:after="0"/>
        <w:ind w:left="0" w:right="0" w:hanging="0"/>
        <w:jc w:val="left"/>
        <w:rPr>
          <w:caps w:val="false"/>
          <w:smallCaps w:val="false"/>
        </w:rPr>
      </w:pPr>
      <w:r>
        <w:rPr>
          <w:caps w:val="false"/>
          <w:smallCaps w:val="false"/>
        </w:rPr>
        <w:t> </w:t>
      </w:r>
    </w:p>
    <w:tbl>
      <w:tblPr>
        <w:tblW w:w="8998" w:type="dxa"/>
        <w:jc w:val="center"/>
        <w:tblInd w:w="0" w:type="dxa"/>
        <w:tblLayout w:type="fixed"/>
        <w:tblCellMar>
          <w:top w:w="0" w:type="dxa"/>
          <w:left w:w="0" w:type="dxa"/>
          <w:bottom w:w="0" w:type="dxa"/>
          <w:right w:w="0" w:type="dxa"/>
        </w:tblCellMar>
      </w:tblPr>
      <w:tblGrid>
        <w:gridCol w:w="2885"/>
        <w:gridCol w:w="1583"/>
        <w:gridCol w:w="1586"/>
        <w:gridCol w:w="1445"/>
        <w:gridCol w:w="1499"/>
      </w:tblGrid>
      <w:tr>
        <w:trPr/>
        <w:tc>
          <w:tcPr>
            <w:tcW w:w="2885" w:type="dxa"/>
            <w:tcBorders/>
            <w:vAlign w:val="center"/>
          </w:tcPr>
          <w:p>
            <w:pPr>
              <w:pStyle w:val="TableContents"/>
              <w:bidi w:val="0"/>
              <w:spacing w:before="0" w:after="283"/>
              <w:jc w:val="left"/>
              <w:rPr/>
            </w:pPr>
            <w:r>
              <w:rPr/>
              <w:t> </w:t>
            </w:r>
          </w:p>
        </w:tc>
        <w:tc>
          <w:tcPr>
            <w:tcW w:w="31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Three-months periods ended June 30,</w:t>
            </w:r>
          </w:p>
        </w:tc>
        <w:tc>
          <w:tcPr>
            <w:tcW w:w="294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Six-months periods ended June 30,</w:t>
            </w:r>
          </w:p>
        </w:tc>
      </w:tr>
      <w:tr>
        <w:trPr/>
        <w:tc>
          <w:tcPr>
            <w:tcW w:w="2885" w:type="dxa"/>
            <w:tcBorders/>
            <w:vAlign w:val="center"/>
          </w:tcPr>
          <w:p>
            <w:pPr>
              <w:pStyle w:val="TableContents"/>
              <w:bidi w:val="0"/>
              <w:spacing w:before="0" w:after="283"/>
              <w:jc w:val="left"/>
              <w:rPr>
                <w:b/>
                <w:sz w:val="20"/>
              </w:rPr>
            </w:pPr>
            <w:r>
              <w:rPr>
                <w:b/>
                <w:sz w:val="20"/>
              </w:rPr>
              <w:t>Related party lease – Santiago</w:t>
            </w:r>
          </w:p>
        </w:tc>
        <w:tc>
          <w:tcPr>
            <w:tcW w:w="158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586"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4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499"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2885" w:type="dxa"/>
            <w:tcBorders>
              <w:top w:val="single" w:sz="8" w:space="0" w:color="000000"/>
            </w:tcBorders>
            <w:shd w:fill="D5EAEA" w:val="clear"/>
            <w:tcMar>
              <w:top w:w="28" w:type="dxa"/>
            </w:tcMar>
            <w:vAlign w:val="center"/>
          </w:tcPr>
          <w:p>
            <w:pPr>
              <w:pStyle w:val="TableContents"/>
              <w:bidi w:val="0"/>
              <w:spacing w:before="0" w:after="283"/>
              <w:jc w:val="left"/>
              <w:rPr>
                <w:sz w:val="20"/>
              </w:rPr>
            </w:pPr>
            <w:r>
              <w:rPr>
                <w:sz w:val="20"/>
              </w:rPr>
              <w:t xml:space="preserve">Principal paid </w:t>
            </w:r>
          </w:p>
        </w:tc>
        <w:tc>
          <w:tcPr>
            <w:tcW w:w="1583" w:type="dxa"/>
            <w:tcBorders/>
            <w:shd w:fill="D5EAEA" w:val="clear"/>
            <w:vAlign w:val="center"/>
          </w:tcPr>
          <w:p>
            <w:pPr>
              <w:pStyle w:val="TableContents"/>
              <w:bidi w:val="0"/>
              <w:spacing w:before="0" w:after="283"/>
              <w:jc w:val="right"/>
              <w:rPr>
                <w:sz w:val="20"/>
              </w:rPr>
            </w:pPr>
            <w:r>
              <w:rPr>
                <w:sz w:val="20"/>
              </w:rPr>
              <w:t>(146)</w:t>
            </w:r>
          </w:p>
        </w:tc>
        <w:tc>
          <w:tcPr>
            <w:tcW w:w="1586" w:type="dxa"/>
            <w:tcBorders/>
            <w:shd w:fill="D5EAEA" w:val="clear"/>
            <w:vAlign w:val="center"/>
          </w:tcPr>
          <w:p>
            <w:pPr>
              <w:pStyle w:val="TableContents"/>
              <w:bidi w:val="0"/>
              <w:spacing w:before="0" w:after="283"/>
              <w:jc w:val="right"/>
              <w:rPr>
                <w:sz w:val="20"/>
              </w:rPr>
            </w:pPr>
            <w:r>
              <w:rPr>
                <w:sz w:val="20"/>
              </w:rPr>
              <w:t>(145)</w:t>
            </w:r>
          </w:p>
        </w:tc>
        <w:tc>
          <w:tcPr>
            <w:tcW w:w="1445" w:type="dxa"/>
            <w:tcBorders/>
            <w:shd w:fill="D5EAEA" w:val="clear"/>
            <w:vAlign w:val="center"/>
          </w:tcPr>
          <w:p>
            <w:pPr>
              <w:pStyle w:val="TableContents"/>
              <w:bidi w:val="0"/>
              <w:spacing w:before="0" w:after="283"/>
              <w:jc w:val="right"/>
              <w:rPr>
                <w:sz w:val="20"/>
              </w:rPr>
            </w:pPr>
            <w:r>
              <w:rPr>
                <w:sz w:val="20"/>
              </w:rPr>
              <w:t>(291)</w:t>
            </w:r>
          </w:p>
        </w:tc>
        <w:tc>
          <w:tcPr>
            <w:tcW w:w="1499" w:type="dxa"/>
            <w:tcBorders/>
            <w:shd w:fill="D5EAEA" w:val="clear"/>
            <w:vAlign w:val="center"/>
          </w:tcPr>
          <w:p>
            <w:pPr>
              <w:pStyle w:val="TableContents"/>
              <w:bidi w:val="0"/>
              <w:spacing w:before="0" w:after="283"/>
              <w:jc w:val="right"/>
              <w:rPr>
                <w:sz w:val="20"/>
              </w:rPr>
            </w:pPr>
            <w:r>
              <w:rPr>
                <w:sz w:val="20"/>
              </w:rPr>
              <w:t>(286)</w:t>
            </w:r>
          </w:p>
        </w:tc>
      </w:tr>
      <w:tr>
        <w:trPr/>
        <w:tc>
          <w:tcPr>
            <w:tcW w:w="2885" w:type="dxa"/>
            <w:tcBorders/>
            <w:shd w:fill="FFFFFF" w:val="clear"/>
            <w:vAlign w:val="center"/>
          </w:tcPr>
          <w:p>
            <w:pPr>
              <w:pStyle w:val="TableContents"/>
              <w:bidi w:val="0"/>
              <w:spacing w:before="0" w:after="283"/>
              <w:jc w:val="left"/>
              <w:rPr>
                <w:sz w:val="20"/>
              </w:rPr>
            </w:pPr>
            <w:r>
              <w:rPr>
                <w:sz w:val="20"/>
              </w:rPr>
              <w:t>Depreciation of right-of-use assets</w:t>
            </w:r>
          </w:p>
        </w:tc>
        <w:tc>
          <w:tcPr>
            <w:tcW w:w="1583" w:type="dxa"/>
            <w:tcBorders/>
            <w:shd w:fill="FFFFFF" w:val="clear"/>
            <w:vAlign w:val="center"/>
          </w:tcPr>
          <w:p>
            <w:pPr>
              <w:pStyle w:val="TableContents"/>
              <w:bidi w:val="0"/>
              <w:spacing w:before="0" w:after="283"/>
              <w:jc w:val="right"/>
              <w:rPr>
                <w:sz w:val="20"/>
              </w:rPr>
            </w:pPr>
            <w:r>
              <w:rPr>
                <w:sz w:val="20"/>
              </w:rPr>
              <w:t>(145)</w:t>
            </w:r>
          </w:p>
        </w:tc>
        <w:tc>
          <w:tcPr>
            <w:tcW w:w="1586" w:type="dxa"/>
            <w:tcBorders/>
            <w:shd w:fill="FFFFFF" w:val="clear"/>
            <w:vAlign w:val="center"/>
          </w:tcPr>
          <w:p>
            <w:pPr>
              <w:pStyle w:val="TableContents"/>
              <w:bidi w:val="0"/>
              <w:spacing w:before="0" w:after="283"/>
              <w:jc w:val="right"/>
              <w:rPr>
                <w:sz w:val="20"/>
              </w:rPr>
            </w:pPr>
            <w:r>
              <w:rPr>
                <w:sz w:val="20"/>
              </w:rPr>
              <w:t>(133)</w:t>
            </w:r>
          </w:p>
        </w:tc>
        <w:tc>
          <w:tcPr>
            <w:tcW w:w="1445" w:type="dxa"/>
            <w:tcBorders/>
            <w:shd w:fill="FFFFFF" w:val="clear"/>
            <w:vAlign w:val="center"/>
          </w:tcPr>
          <w:p>
            <w:pPr>
              <w:pStyle w:val="TableContents"/>
              <w:bidi w:val="0"/>
              <w:spacing w:before="0" w:after="283"/>
              <w:jc w:val="right"/>
              <w:rPr>
                <w:sz w:val="20"/>
              </w:rPr>
            </w:pPr>
            <w:r>
              <w:rPr>
                <w:sz w:val="20"/>
              </w:rPr>
              <w:t>(290)</w:t>
            </w:r>
          </w:p>
        </w:tc>
        <w:tc>
          <w:tcPr>
            <w:tcW w:w="1499" w:type="dxa"/>
            <w:tcBorders/>
            <w:shd w:fill="FFFFFF" w:val="clear"/>
            <w:vAlign w:val="center"/>
          </w:tcPr>
          <w:p>
            <w:pPr>
              <w:pStyle w:val="TableContents"/>
              <w:bidi w:val="0"/>
              <w:spacing w:before="0" w:after="283"/>
              <w:jc w:val="right"/>
              <w:rPr>
                <w:sz w:val="20"/>
              </w:rPr>
            </w:pPr>
            <w:r>
              <w:rPr>
                <w:sz w:val="20"/>
              </w:rPr>
              <w:t>(262)</w:t>
            </w:r>
          </w:p>
        </w:tc>
      </w:tr>
      <w:tr>
        <w:trPr/>
        <w:tc>
          <w:tcPr>
            <w:tcW w:w="2885" w:type="dxa"/>
            <w:tcBorders/>
            <w:shd w:fill="D5EAEA" w:val="clear"/>
            <w:vAlign w:val="center"/>
          </w:tcPr>
          <w:p>
            <w:pPr>
              <w:pStyle w:val="TableContents"/>
              <w:bidi w:val="0"/>
              <w:spacing w:before="0" w:after="283"/>
              <w:jc w:val="left"/>
              <w:rPr>
                <w:sz w:val="20"/>
              </w:rPr>
            </w:pPr>
            <w:r>
              <w:rPr>
                <w:sz w:val="20"/>
              </w:rPr>
              <w:t>Interest incurred on lease liabilities</w:t>
            </w:r>
          </w:p>
        </w:tc>
        <w:tc>
          <w:tcPr>
            <w:tcW w:w="1583" w:type="dxa"/>
            <w:tcBorders/>
            <w:shd w:fill="D5EAEA" w:val="clear"/>
            <w:vAlign w:val="center"/>
          </w:tcPr>
          <w:p>
            <w:pPr>
              <w:pStyle w:val="TableContents"/>
              <w:bidi w:val="0"/>
              <w:spacing w:before="0" w:after="283"/>
              <w:jc w:val="right"/>
              <w:rPr>
                <w:sz w:val="20"/>
              </w:rPr>
            </w:pPr>
            <w:r>
              <w:rPr>
                <w:sz w:val="20"/>
              </w:rPr>
              <w:t>(12)</w:t>
            </w:r>
          </w:p>
        </w:tc>
        <w:tc>
          <w:tcPr>
            <w:tcW w:w="1586" w:type="dxa"/>
            <w:tcBorders/>
            <w:shd w:fill="D5EAEA" w:val="clear"/>
            <w:vAlign w:val="center"/>
          </w:tcPr>
          <w:p>
            <w:pPr>
              <w:pStyle w:val="TableContents"/>
              <w:bidi w:val="0"/>
              <w:spacing w:before="0" w:after="283"/>
              <w:jc w:val="right"/>
              <w:rPr>
                <w:sz w:val="20"/>
              </w:rPr>
            </w:pPr>
            <w:r>
              <w:rPr>
                <w:sz w:val="20"/>
              </w:rPr>
              <w:t>(14)</w:t>
            </w:r>
          </w:p>
        </w:tc>
        <w:tc>
          <w:tcPr>
            <w:tcW w:w="1445" w:type="dxa"/>
            <w:tcBorders/>
            <w:shd w:fill="D5EAEA" w:val="clear"/>
            <w:vAlign w:val="center"/>
          </w:tcPr>
          <w:p>
            <w:pPr>
              <w:pStyle w:val="TableContents"/>
              <w:bidi w:val="0"/>
              <w:spacing w:before="0" w:after="283"/>
              <w:jc w:val="right"/>
              <w:rPr>
                <w:sz w:val="20"/>
              </w:rPr>
            </w:pPr>
            <w:r>
              <w:rPr>
                <w:sz w:val="20"/>
              </w:rPr>
              <w:t>(24)</w:t>
            </w:r>
          </w:p>
        </w:tc>
        <w:tc>
          <w:tcPr>
            <w:tcW w:w="1499" w:type="dxa"/>
            <w:tcBorders/>
            <w:shd w:fill="D5EAEA" w:val="clear"/>
            <w:vAlign w:val="center"/>
          </w:tcPr>
          <w:p>
            <w:pPr>
              <w:pStyle w:val="TableContents"/>
              <w:bidi w:val="0"/>
              <w:spacing w:before="0" w:after="283"/>
              <w:jc w:val="right"/>
              <w:rPr>
                <w:sz w:val="20"/>
              </w:rPr>
            </w:pPr>
            <w:r>
              <w:rPr>
                <w:sz w:val="20"/>
              </w:rPr>
              <w:t>(28)</w:t>
            </w:r>
          </w:p>
        </w:tc>
      </w:tr>
    </w:tbl>
    <w:p>
      <w:pPr>
        <w:pStyle w:val="TextBody"/>
        <w:bidi w:val="0"/>
        <w:spacing w:before="0" w:after="283"/>
        <w:jc w:val="left"/>
        <w:rPr/>
      </w:pPr>
      <w:r>
        <w:rPr/>
        <w:t> </w:t>
      </w:r>
    </w:p>
    <w:tbl>
      <w:tblPr>
        <w:tblW w:w="10205" w:type="dxa"/>
        <w:jc w:val="center"/>
        <w:tblInd w:w="0" w:type="dxa"/>
        <w:tblLayout w:type="fixed"/>
        <w:tblCellMar>
          <w:top w:w="0" w:type="dxa"/>
          <w:left w:w="0" w:type="dxa"/>
          <w:bottom w:w="0" w:type="dxa"/>
          <w:right w:w="0" w:type="dxa"/>
        </w:tblCellMar>
      </w:tblPr>
      <w:tblGrid>
        <w:gridCol w:w="4637"/>
        <w:gridCol w:w="1446"/>
        <w:gridCol w:w="1449"/>
        <w:gridCol w:w="1311"/>
        <w:gridCol w:w="1362"/>
      </w:tblGrid>
      <w:tr>
        <w:trPr/>
        <w:tc>
          <w:tcPr>
            <w:tcW w:w="4637" w:type="dxa"/>
            <w:tcBorders/>
            <w:vAlign w:val="center"/>
          </w:tcPr>
          <w:p>
            <w:pPr>
              <w:pStyle w:val="TableContents"/>
              <w:bidi w:val="0"/>
              <w:spacing w:before="0" w:after="283"/>
              <w:jc w:val="left"/>
              <w:rPr/>
            </w:pPr>
            <w:r>
              <w:rPr/>
              <w:t> </w:t>
            </w:r>
          </w:p>
        </w:tc>
        <w:tc>
          <w:tcPr>
            <w:tcW w:w="28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Three-months periods ended June 30,</w:t>
            </w:r>
          </w:p>
        </w:tc>
        <w:tc>
          <w:tcPr>
            <w:tcW w:w="267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Six-months periods ended June 30,</w:t>
            </w:r>
          </w:p>
        </w:tc>
      </w:tr>
      <w:tr>
        <w:trPr/>
        <w:tc>
          <w:tcPr>
            <w:tcW w:w="4637" w:type="dxa"/>
            <w:tcBorders/>
            <w:vAlign w:val="center"/>
          </w:tcPr>
          <w:p>
            <w:pPr>
              <w:pStyle w:val="TableContents"/>
              <w:bidi w:val="0"/>
              <w:spacing w:before="0" w:after="283"/>
              <w:jc w:val="left"/>
              <w:rPr>
                <w:b/>
                <w:sz w:val="20"/>
              </w:rPr>
            </w:pPr>
            <w:r>
              <w:rPr>
                <w:b/>
                <w:sz w:val="20"/>
              </w:rPr>
              <w:t>Related party lease - Gestão e Transformação Infraestrutura</w:t>
            </w:r>
          </w:p>
        </w:tc>
        <w:tc>
          <w:tcPr>
            <w:tcW w:w="1446"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449"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31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3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4637" w:type="dxa"/>
            <w:tcBorders>
              <w:top w:val="single" w:sz="8" w:space="0" w:color="000000"/>
            </w:tcBorders>
            <w:shd w:fill="D5EAEA" w:val="clear"/>
            <w:tcMar>
              <w:top w:w="28" w:type="dxa"/>
            </w:tcMar>
            <w:vAlign w:val="center"/>
          </w:tcPr>
          <w:p>
            <w:pPr>
              <w:pStyle w:val="TableContents"/>
              <w:bidi w:val="0"/>
              <w:spacing w:before="0" w:after="283"/>
              <w:jc w:val="left"/>
              <w:rPr>
                <w:sz w:val="20"/>
              </w:rPr>
            </w:pPr>
            <w:r>
              <w:rPr>
                <w:sz w:val="20"/>
              </w:rPr>
              <w:t xml:space="preserve">Principal paid </w:t>
            </w:r>
          </w:p>
        </w:tc>
        <w:tc>
          <w:tcPr>
            <w:tcW w:w="1446" w:type="dxa"/>
            <w:tcBorders/>
            <w:shd w:fill="D5EAEA" w:val="clear"/>
            <w:vAlign w:val="center"/>
          </w:tcPr>
          <w:p>
            <w:pPr>
              <w:pStyle w:val="TableContents"/>
              <w:bidi w:val="0"/>
              <w:spacing w:before="0" w:after="283"/>
              <w:jc w:val="right"/>
              <w:rPr>
                <w:sz w:val="20"/>
              </w:rPr>
            </w:pPr>
            <w:r>
              <w:rPr>
                <w:sz w:val="20"/>
              </w:rPr>
              <w:t>(131)</w:t>
            </w:r>
          </w:p>
        </w:tc>
        <w:tc>
          <w:tcPr>
            <w:tcW w:w="1449" w:type="dxa"/>
            <w:tcBorders/>
            <w:shd w:fill="D5EAEA" w:val="clear"/>
            <w:vAlign w:val="center"/>
          </w:tcPr>
          <w:p>
            <w:pPr>
              <w:pStyle w:val="TableContents"/>
              <w:bidi w:val="0"/>
              <w:spacing w:before="0" w:after="283"/>
              <w:jc w:val="right"/>
              <w:rPr>
                <w:sz w:val="20"/>
              </w:rPr>
            </w:pPr>
            <w:r>
              <w:rPr>
                <w:sz w:val="20"/>
              </w:rPr>
              <w:t>(127)</w:t>
            </w:r>
          </w:p>
        </w:tc>
        <w:tc>
          <w:tcPr>
            <w:tcW w:w="1311" w:type="dxa"/>
            <w:tcBorders/>
            <w:shd w:fill="D5EAEA" w:val="clear"/>
            <w:vAlign w:val="center"/>
          </w:tcPr>
          <w:p>
            <w:pPr>
              <w:pStyle w:val="TableContents"/>
              <w:bidi w:val="0"/>
              <w:spacing w:before="0" w:after="283"/>
              <w:jc w:val="right"/>
              <w:rPr>
                <w:sz w:val="20"/>
              </w:rPr>
            </w:pPr>
            <w:r>
              <w:rPr>
                <w:sz w:val="20"/>
              </w:rPr>
              <w:t>(257)</w:t>
            </w:r>
          </w:p>
        </w:tc>
        <w:tc>
          <w:tcPr>
            <w:tcW w:w="1362" w:type="dxa"/>
            <w:tcBorders/>
            <w:shd w:fill="D5EAEA" w:val="clear"/>
            <w:vAlign w:val="center"/>
          </w:tcPr>
          <w:p>
            <w:pPr>
              <w:pStyle w:val="TableContents"/>
              <w:bidi w:val="0"/>
              <w:spacing w:before="0" w:after="283"/>
              <w:jc w:val="right"/>
              <w:rPr>
                <w:sz w:val="20"/>
              </w:rPr>
            </w:pPr>
            <w:r>
              <w:rPr>
                <w:sz w:val="20"/>
              </w:rPr>
              <w:t>(249)</w:t>
            </w:r>
          </w:p>
        </w:tc>
      </w:tr>
      <w:tr>
        <w:trPr/>
        <w:tc>
          <w:tcPr>
            <w:tcW w:w="4637" w:type="dxa"/>
            <w:tcBorders/>
            <w:shd w:fill="FFFFFF" w:val="clear"/>
            <w:vAlign w:val="center"/>
          </w:tcPr>
          <w:p>
            <w:pPr>
              <w:pStyle w:val="TableContents"/>
              <w:bidi w:val="0"/>
              <w:spacing w:before="0" w:after="283"/>
              <w:jc w:val="left"/>
              <w:rPr>
                <w:sz w:val="20"/>
              </w:rPr>
            </w:pPr>
            <w:r>
              <w:rPr>
                <w:sz w:val="20"/>
              </w:rPr>
              <w:t>Depreciation of right-of-use assets</w:t>
            </w:r>
          </w:p>
        </w:tc>
        <w:tc>
          <w:tcPr>
            <w:tcW w:w="1446" w:type="dxa"/>
            <w:tcBorders/>
            <w:shd w:fill="FFFFFF" w:val="clear"/>
            <w:vAlign w:val="center"/>
          </w:tcPr>
          <w:p>
            <w:pPr>
              <w:pStyle w:val="TableContents"/>
              <w:bidi w:val="0"/>
              <w:spacing w:before="0" w:after="283"/>
              <w:jc w:val="right"/>
              <w:rPr>
                <w:sz w:val="20"/>
              </w:rPr>
            </w:pPr>
            <w:r>
              <w:rPr>
                <w:sz w:val="20"/>
              </w:rPr>
              <w:t>(89)</w:t>
            </w:r>
          </w:p>
        </w:tc>
        <w:tc>
          <w:tcPr>
            <w:tcW w:w="1449" w:type="dxa"/>
            <w:tcBorders/>
            <w:shd w:fill="FFFFFF" w:val="clear"/>
            <w:vAlign w:val="center"/>
          </w:tcPr>
          <w:p>
            <w:pPr>
              <w:pStyle w:val="TableContents"/>
              <w:bidi w:val="0"/>
              <w:spacing w:before="0" w:after="283"/>
              <w:jc w:val="right"/>
              <w:rPr>
                <w:sz w:val="20"/>
              </w:rPr>
            </w:pPr>
            <w:r>
              <w:rPr>
                <w:sz w:val="20"/>
              </w:rPr>
              <w:t>(85)</w:t>
            </w:r>
          </w:p>
        </w:tc>
        <w:tc>
          <w:tcPr>
            <w:tcW w:w="1311" w:type="dxa"/>
            <w:tcBorders/>
            <w:shd w:fill="FFFFFF" w:val="clear"/>
            <w:vAlign w:val="center"/>
          </w:tcPr>
          <w:p>
            <w:pPr>
              <w:pStyle w:val="TableContents"/>
              <w:bidi w:val="0"/>
              <w:spacing w:before="0" w:after="283"/>
              <w:jc w:val="right"/>
              <w:rPr>
                <w:sz w:val="20"/>
              </w:rPr>
            </w:pPr>
            <w:r>
              <w:rPr>
                <w:sz w:val="20"/>
              </w:rPr>
              <w:t>(175)</w:t>
            </w:r>
          </w:p>
        </w:tc>
        <w:tc>
          <w:tcPr>
            <w:tcW w:w="1362" w:type="dxa"/>
            <w:tcBorders/>
            <w:shd w:fill="FFFFFF" w:val="clear"/>
            <w:vAlign w:val="center"/>
          </w:tcPr>
          <w:p>
            <w:pPr>
              <w:pStyle w:val="TableContents"/>
              <w:bidi w:val="0"/>
              <w:spacing w:before="0" w:after="283"/>
              <w:jc w:val="right"/>
              <w:rPr>
                <w:sz w:val="20"/>
              </w:rPr>
            </w:pPr>
            <w:r>
              <w:rPr>
                <w:sz w:val="20"/>
              </w:rPr>
              <w:t>(168)</w:t>
            </w:r>
          </w:p>
        </w:tc>
      </w:tr>
      <w:tr>
        <w:trPr/>
        <w:tc>
          <w:tcPr>
            <w:tcW w:w="4637" w:type="dxa"/>
            <w:tcBorders/>
            <w:shd w:fill="D5EAEA" w:val="clear"/>
            <w:vAlign w:val="center"/>
          </w:tcPr>
          <w:p>
            <w:pPr>
              <w:pStyle w:val="TableContents"/>
              <w:bidi w:val="0"/>
              <w:spacing w:before="0" w:after="283"/>
              <w:jc w:val="left"/>
              <w:rPr>
                <w:sz w:val="20"/>
              </w:rPr>
            </w:pPr>
            <w:r>
              <w:rPr>
                <w:sz w:val="20"/>
              </w:rPr>
              <w:t>Interest incurred on lease liabilities</w:t>
            </w:r>
          </w:p>
        </w:tc>
        <w:tc>
          <w:tcPr>
            <w:tcW w:w="1446" w:type="dxa"/>
            <w:tcBorders/>
            <w:shd w:fill="D5EAEA" w:val="clear"/>
            <w:vAlign w:val="center"/>
          </w:tcPr>
          <w:p>
            <w:pPr>
              <w:pStyle w:val="TableContents"/>
              <w:bidi w:val="0"/>
              <w:spacing w:before="0" w:after="283"/>
              <w:jc w:val="right"/>
              <w:rPr>
                <w:sz w:val="20"/>
              </w:rPr>
            </w:pPr>
            <w:r>
              <w:rPr>
                <w:sz w:val="20"/>
              </w:rPr>
              <w:t>(38)</w:t>
            </w:r>
          </w:p>
        </w:tc>
        <w:tc>
          <w:tcPr>
            <w:tcW w:w="1449" w:type="dxa"/>
            <w:tcBorders/>
            <w:shd w:fill="D5EAEA" w:val="clear"/>
            <w:vAlign w:val="center"/>
          </w:tcPr>
          <w:p>
            <w:pPr>
              <w:pStyle w:val="TableContents"/>
              <w:bidi w:val="0"/>
              <w:spacing w:before="0" w:after="283"/>
              <w:jc w:val="right"/>
              <w:rPr>
                <w:sz w:val="20"/>
              </w:rPr>
            </w:pPr>
            <w:r>
              <w:rPr>
                <w:sz w:val="20"/>
              </w:rPr>
              <w:t>(46)</w:t>
            </w:r>
          </w:p>
        </w:tc>
        <w:tc>
          <w:tcPr>
            <w:tcW w:w="1311" w:type="dxa"/>
            <w:tcBorders/>
            <w:shd w:fill="D5EAEA" w:val="clear"/>
            <w:vAlign w:val="center"/>
          </w:tcPr>
          <w:p>
            <w:pPr>
              <w:pStyle w:val="TableContents"/>
              <w:bidi w:val="0"/>
              <w:spacing w:before="0" w:after="283"/>
              <w:jc w:val="right"/>
              <w:rPr>
                <w:sz w:val="20"/>
              </w:rPr>
            </w:pPr>
            <w:r>
              <w:rPr>
                <w:sz w:val="20"/>
              </w:rPr>
              <w:t>(78)</w:t>
            </w:r>
          </w:p>
        </w:tc>
        <w:tc>
          <w:tcPr>
            <w:tcW w:w="1362" w:type="dxa"/>
            <w:tcBorders/>
            <w:shd w:fill="D5EAEA" w:val="clear"/>
            <w:vAlign w:val="center"/>
          </w:tcPr>
          <w:p>
            <w:pPr>
              <w:pStyle w:val="TableContents"/>
              <w:bidi w:val="0"/>
              <w:spacing w:before="0" w:after="283"/>
              <w:jc w:val="right"/>
              <w:rPr>
                <w:sz w:val="20"/>
              </w:rPr>
            </w:pPr>
            <w:r>
              <w:rPr>
                <w:sz w:val="20"/>
              </w:rPr>
              <w:t>(93)</w:t>
            </w:r>
          </w:p>
        </w:tc>
      </w:tr>
    </w:tbl>
    <w:p>
      <w:pPr>
        <w:pStyle w:val="TextBody"/>
        <w:bidi w:val="0"/>
        <w:spacing w:before="0" w:after="283"/>
        <w:jc w:val="left"/>
        <w:rPr/>
      </w:pPr>
      <w:r>
        <w:rPr/>
        <w:t> </w:t>
      </w:r>
    </w:p>
    <w:tbl>
      <w:tblPr>
        <w:tblW w:w="10205" w:type="dxa"/>
        <w:jc w:val="center"/>
        <w:tblInd w:w="0" w:type="dxa"/>
        <w:tblLayout w:type="fixed"/>
        <w:tblCellMar>
          <w:top w:w="0" w:type="dxa"/>
          <w:left w:w="0" w:type="dxa"/>
          <w:bottom w:w="0" w:type="dxa"/>
          <w:right w:w="0" w:type="dxa"/>
        </w:tblCellMar>
      </w:tblPr>
      <w:tblGrid>
        <w:gridCol w:w="4244"/>
        <w:gridCol w:w="1544"/>
        <w:gridCol w:w="1547"/>
        <w:gridCol w:w="1407"/>
        <w:gridCol w:w="1463"/>
      </w:tblGrid>
      <w:tr>
        <w:trPr/>
        <w:tc>
          <w:tcPr>
            <w:tcW w:w="4244" w:type="dxa"/>
            <w:tcBorders/>
            <w:vAlign w:val="center"/>
          </w:tcPr>
          <w:p>
            <w:pPr>
              <w:pStyle w:val="TableContents"/>
              <w:bidi w:val="0"/>
              <w:spacing w:before="0" w:after="283"/>
              <w:jc w:val="left"/>
              <w:rPr/>
            </w:pPr>
            <w:r>
              <w:rPr/>
              <w:t> </w:t>
            </w:r>
          </w:p>
        </w:tc>
        <w:tc>
          <w:tcPr>
            <w:tcW w:w="30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Three-months periods ended June 30,</w:t>
            </w:r>
          </w:p>
        </w:tc>
        <w:tc>
          <w:tcPr>
            <w:tcW w:w="28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Six-months periods ended June 30,</w:t>
            </w:r>
          </w:p>
        </w:tc>
      </w:tr>
      <w:tr>
        <w:trPr/>
        <w:tc>
          <w:tcPr>
            <w:tcW w:w="4244" w:type="dxa"/>
            <w:tcBorders/>
            <w:vAlign w:val="center"/>
          </w:tcPr>
          <w:p>
            <w:pPr>
              <w:pStyle w:val="TableContents"/>
              <w:bidi w:val="0"/>
              <w:spacing w:before="0" w:after="283"/>
              <w:jc w:val="left"/>
              <w:rPr>
                <w:b/>
                <w:sz w:val="20"/>
              </w:rPr>
            </w:pPr>
            <w:r>
              <w:rPr>
                <w:b/>
                <w:sz w:val="20"/>
              </w:rPr>
              <w:t>Related party lease - Fondo Inmobiliario Colombia</w:t>
            </w:r>
          </w:p>
        </w:tc>
        <w:tc>
          <w:tcPr>
            <w:tcW w:w="154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54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40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46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r>
      <w:tr>
        <w:trPr/>
        <w:tc>
          <w:tcPr>
            <w:tcW w:w="4244" w:type="dxa"/>
            <w:tcBorders>
              <w:top w:val="single" w:sz="8" w:space="0" w:color="000000"/>
            </w:tcBorders>
            <w:shd w:fill="D5EAEA" w:val="clear"/>
            <w:tcMar>
              <w:top w:w="28" w:type="dxa"/>
            </w:tcMar>
            <w:vAlign w:val="center"/>
          </w:tcPr>
          <w:p>
            <w:pPr>
              <w:pStyle w:val="TableContents"/>
              <w:bidi w:val="0"/>
              <w:spacing w:before="0" w:after="283"/>
              <w:jc w:val="left"/>
              <w:rPr>
                <w:sz w:val="20"/>
              </w:rPr>
            </w:pPr>
            <w:r>
              <w:rPr>
                <w:sz w:val="20"/>
              </w:rPr>
              <w:t xml:space="preserve">Principal paid </w:t>
            </w:r>
          </w:p>
        </w:tc>
        <w:tc>
          <w:tcPr>
            <w:tcW w:w="1544" w:type="dxa"/>
            <w:tcBorders/>
            <w:shd w:fill="D5EAEA" w:val="clear"/>
            <w:vAlign w:val="center"/>
          </w:tcPr>
          <w:p>
            <w:pPr>
              <w:pStyle w:val="TableContents"/>
              <w:bidi w:val="0"/>
              <w:spacing w:before="0" w:after="283"/>
              <w:jc w:val="right"/>
              <w:rPr>
                <w:sz w:val="20"/>
              </w:rPr>
            </w:pPr>
            <w:r>
              <w:rPr>
                <w:sz w:val="20"/>
              </w:rPr>
              <w:t>(48)</w:t>
            </w:r>
          </w:p>
        </w:tc>
        <w:tc>
          <w:tcPr>
            <w:tcW w:w="1547" w:type="dxa"/>
            <w:tcBorders/>
            <w:shd w:fill="D5EAEA" w:val="clear"/>
            <w:vAlign w:val="center"/>
          </w:tcPr>
          <w:p>
            <w:pPr>
              <w:pStyle w:val="TableContents"/>
              <w:bidi w:val="0"/>
              <w:spacing w:before="0" w:after="283"/>
              <w:jc w:val="right"/>
              <w:rPr>
                <w:sz w:val="20"/>
              </w:rPr>
            </w:pPr>
            <w:r>
              <w:rPr>
                <w:sz w:val="20"/>
              </w:rPr>
              <w:t>(39)</w:t>
            </w:r>
          </w:p>
        </w:tc>
        <w:tc>
          <w:tcPr>
            <w:tcW w:w="1407" w:type="dxa"/>
            <w:tcBorders/>
            <w:shd w:fill="D5EAEA" w:val="clear"/>
            <w:vAlign w:val="center"/>
          </w:tcPr>
          <w:p>
            <w:pPr>
              <w:pStyle w:val="TableContents"/>
              <w:bidi w:val="0"/>
              <w:spacing w:before="0" w:after="283"/>
              <w:jc w:val="right"/>
              <w:rPr>
                <w:sz w:val="20"/>
              </w:rPr>
            </w:pPr>
            <w:r>
              <w:rPr>
                <w:sz w:val="20"/>
              </w:rPr>
              <w:t>(93)</w:t>
            </w:r>
          </w:p>
        </w:tc>
        <w:tc>
          <w:tcPr>
            <w:tcW w:w="1463" w:type="dxa"/>
            <w:tcBorders/>
            <w:shd w:fill="D5EAEA" w:val="clear"/>
            <w:vAlign w:val="center"/>
          </w:tcPr>
          <w:p>
            <w:pPr>
              <w:pStyle w:val="TableContents"/>
              <w:bidi w:val="0"/>
              <w:spacing w:before="0" w:after="283"/>
              <w:jc w:val="right"/>
              <w:rPr>
                <w:sz w:val="20"/>
              </w:rPr>
            </w:pPr>
            <w:r>
              <w:rPr>
                <w:sz w:val="20"/>
              </w:rPr>
              <w:t>(76)</w:t>
            </w:r>
          </w:p>
        </w:tc>
      </w:tr>
      <w:tr>
        <w:trPr/>
        <w:tc>
          <w:tcPr>
            <w:tcW w:w="4244" w:type="dxa"/>
            <w:tcBorders/>
            <w:shd w:fill="FFFFFF" w:val="clear"/>
            <w:vAlign w:val="center"/>
          </w:tcPr>
          <w:p>
            <w:pPr>
              <w:pStyle w:val="TableContents"/>
              <w:bidi w:val="0"/>
              <w:spacing w:before="0" w:after="283"/>
              <w:jc w:val="left"/>
              <w:rPr>
                <w:sz w:val="20"/>
              </w:rPr>
            </w:pPr>
            <w:r>
              <w:rPr>
                <w:sz w:val="20"/>
              </w:rPr>
              <w:t>Depreciation of right-of-use assets</w:t>
            </w:r>
          </w:p>
        </w:tc>
        <w:tc>
          <w:tcPr>
            <w:tcW w:w="1544" w:type="dxa"/>
            <w:tcBorders/>
            <w:shd w:fill="FFFFFF" w:val="clear"/>
            <w:vAlign w:val="center"/>
          </w:tcPr>
          <w:p>
            <w:pPr>
              <w:pStyle w:val="TableContents"/>
              <w:bidi w:val="0"/>
              <w:spacing w:before="0" w:after="283"/>
              <w:jc w:val="right"/>
              <w:rPr>
                <w:sz w:val="20"/>
              </w:rPr>
            </w:pPr>
            <w:r>
              <w:rPr>
                <w:sz w:val="20"/>
              </w:rPr>
              <w:t>(27)</w:t>
            </w:r>
          </w:p>
        </w:tc>
        <w:tc>
          <w:tcPr>
            <w:tcW w:w="1547" w:type="dxa"/>
            <w:tcBorders/>
            <w:shd w:fill="FFFFFF" w:val="clear"/>
            <w:vAlign w:val="center"/>
          </w:tcPr>
          <w:p>
            <w:pPr>
              <w:pStyle w:val="TableContents"/>
              <w:bidi w:val="0"/>
              <w:spacing w:before="0" w:after="283"/>
              <w:jc w:val="right"/>
              <w:rPr>
                <w:sz w:val="20"/>
              </w:rPr>
            </w:pPr>
            <w:r>
              <w:rPr>
                <w:sz w:val="20"/>
              </w:rPr>
              <w:t>(22)</w:t>
            </w:r>
          </w:p>
        </w:tc>
        <w:tc>
          <w:tcPr>
            <w:tcW w:w="1407" w:type="dxa"/>
            <w:tcBorders/>
            <w:shd w:fill="FFFFFF" w:val="clear"/>
            <w:vAlign w:val="center"/>
          </w:tcPr>
          <w:p>
            <w:pPr>
              <w:pStyle w:val="TableContents"/>
              <w:bidi w:val="0"/>
              <w:spacing w:before="0" w:after="283"/>
              <w:jc w:val="right"/>
              <w:rPr>
                <w:sz w:val="20"/>
              </w:rPr>
            </w:pPr>
            <w:r>
              <w:rPr>
                <w:sz w:val="20"/>
              </w:rPr>
              <w:t>(54)</w:t>
            </w:r>
          </w:p>
        </w:tc>
        <w:tc>
          <w:tcPr>
            <w:tcW w:w="1463" w:type="dxa"/>
            <w:tcBorders/>
            <w:shd w:fill="FFFFFF" w:val="clear"/>
            <w:vAlign w:val="center"/>
          </w:tcPr>
          <w:p>
            <w:pPr>
              <w:pStyle w:val="TableContents"/>
              <w:bidi w:val="0"/>
              <w:spacing w:before="0" w:after="283"/>
              <w:jc w:val="right"/>
              <w:rPr>
                <w:sz w:val="20"/>
              </w:rPr>
            </w:pPr>
            <w:r>
              <w:rPr>
                <w:sz w:val="20"/>
              </w:rPr>
              <w:t>(44)</w:t>
            </w:r>
          </w:p>
        </w:tc>
      </w:tr>
      <w:tr>
        <w:trPr/>
        <w:tc>
          <w:tcPr>
            <w:tcW w:w="4244" w:type="dxa"/>
            <w:tcBorders/>
            <w:shd w:fill="D5EAEA" w:val="clear"/>
            <w:vAlign w:val="center"/>
          </w:tcPr>
          <w:p>
            <w:pPr>
              <w:pStyle w:val="TableContents"/>
              <w:bidi w:val="0"/>
              <w:spacing w:before="0" w:after="283"/>
              <w:jc w:val="left"/>
              <w:rPr>
                <w:sz w:val="20"/>
              </w:rPr>
            </w:pPr>
            <w:r>
              <w:rPr>
                <w:sz w:val="20"/>
              </w:rPr>
              <w:t>Interest incurred on lease liabilities</w:t>
            </w:r>
          </w:p>
        </w:tc>
        <w:tc>
          <w:tcPr>
            <w:tcW w:w="1544" w:type="dxa"/>
            <w:tcBorders/>
            <w:shd w:fill="D5EAEA" w:val="clear"/>
            <w:vAlign w:val="center"/>
          </w:tcPr>
          <w:p>
            <w:pPr>
              <w:pStyle w:val="TableContents"/>
              <w:bidi w:val="0"/>
              <w:spacing w:before="0" w:after="283"/>
              <w:jc w:val="right"/>
              <w:rPr>
                <w:sz w:val="20"/>
              </w:rPr>
            </w:pPr>
            <w:r>
              <w:rPr>
                <w:sz w:val="20"/>
              </w:rPr>
              <w:t>(30)</w:t>
            </w:r>
          </w:p>
        </w:tc>
        <w:tc>
          <w:tcPr>
            <w:tcW w:w="1547" w:type="dxa"/>
            <w:tcBorders/>
            <w:shd w:fill="D5EAEA" w:val="clear"/>
            <w:vAlign w:val="center"/>
          </w:tcPr>
          <w:p>
            <w:pPr>
              <w:pStyle w:val="TableContents"/>
              <w:bidi w:val="0"/>
              <w:spacing w:before="0" w:after="283"/>
              <w:jc w:val="right"/>
              <w:rPr>
                <w:sz w:val="20"/>
              </w:rPr>
            </w:pPr>
            <w:r>
              <w:rPr>
                <w:sz w:val="20"/>
              </w:rPr>
              <w:t>(26)</w:t>
            </w:r>
          </w:p>
        </w:tc>
        <w:tc>
          <w:tcPr>
            <w:tcW w:w="1407" w:type="dxa"/>
            <w:tcBorders/>
            <w:shd w:fill="D5EAEA" w:val="clear"/>
            <w:vAlign w:val="center"/>
          </w:tcPr>
          <w:p>
            <w:pPr>
              <w:pStyle w:val="TableContents"/>
              <w:bidi w:val="0"/>
              <w:spacing w:before="0" w:after="283"/>
              <w:jc w:val="right"/>
              <w:rPr>
                <w:sz w:val="20"/>
              </w:rPr>
            </w:pPr>
            <w:r>
              <w:rPr>
                <w:sz w:val="20"/>
              </w:rPr>
              <w:t>(59)</w:t>
            </w:r>
          </w:p>
        </w:tc>
        <w:tc>
          <w:tcPr>
            <w:tcW w:w="1463" w:type="dxa"/>
            <w:tcBorders/>
            <w:shd w:fill="D5EAEA" w:val="clear"/>
            <w:vAlign w:val="center"/>
          </w:tcPr>
          <w:p>
            <w:pPr>
              <w:pStyle w:val="TableContents"/>
              <w:bidi w:val="0"/>
              <w:spacing w:before="0" w:after="283"/>
              <w:jc w:val="right"/>
              <w:rPr>
                <w:sz w:val="20"/>
              </w:rPr>
            </w:pPr>
            <w:r>
              <w:rPr>
                <w:sz w:val="20"/>
              </w:rPr>
              <w:t>(51)</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83"/>
        <w:gridCol w:w="8981"/>
      </w:tblGrid>
      <w:tr>
        <w:trPr/>
        <w:tc>
          <w:tcPr>
            <w:tcW w:w="14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pPr>
            <w:r>
              <w:rPr/>
              <w:t>(g)</w:t>
            </w:r>
          </w:p>
        </w:tc>
        <w:tc>
          <w:tcPr>
            <w:tcW w:w="8981" w:type="dxa"/>
            <w:tcBorders/>
            <w:vAlign w:val="center"/>
          </w:tcPr>
          <w:p>
            <w:pPr>
              <w:pStyle w:val="TableContents"/>
              <w:bidi w:val="0"/>
              <w:spacing w:before="0" w:after="283"/>
              <w:jc w:val="both"/>
              <w:rPr>
                <w:caps w:val="false"/>
                <w:smallCaps w:val="false"/>
              </w:rPr>
            </w:pPr>
            <w:r>
              <w:rPr>
                <w:caps w:val="false"/>
                <w:smallCaps w:val="false"/>
              </w:rPr>
              <w:t>Tria option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directors of Tria hold a 41,10% interest in Tria. The option arrangements provide the Company with the option to acquire the remaining 41.10% interest in Tria from those individuals.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1071"/>
        <w:gridCol w:w="8994"/>
      </w:tblGrid>
      <w:tr>
        <w:trPr/>
        <w:tc>
          <w:tcPr>
            <w:tcW w:w="1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pPr>
            <w:r>
              <w:rPr/>
              <w:t>(h)</w:t>
            </w:r>
          </w:p>
        </w:tc>
        <w:tc>
          <w:tcPr>
            <w:tcW w:w="8994" w:type="dxa"/>
            <w:tcBorders/>
            <w:vAlign w:val="center"/>
          </w:tcPr>
          <w:p>
            <w:pPr>
              <w:pStyle w:val="TableContents"/>
              <w:bidi w:val="0"/>
              <w:spacing w:before="0" w:after="283"/>
              <w:jc w:val="both"/>
              <w:rPr>
                <w:caps w:val="false"/>
                <w:smallCaps w:val="false"/>
              </w:rPr>
            </w:pPr>
            <w:r>
              <w:rPr>
                <w:caps w:val="false"/>
                <w:smallCaps w:val="false"/>
              </w:rPr>
              <w:t>Igah option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directors of PILTDA hold a 57.08% share in Igah GP IV. The option arrangements provide the Company with the option to acquire the remaining 57.08% share in the company from those individuals – refer to note 21(c)(i).</w:t>
      </w:r>
    </w:p>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pPr>
            <w:r>
              <w:rPr/>
              <w:t>33.</w:t>
            </w:r>
          </w:p>
        </w:tc>
        <w:tc>
          <w:tcPr>
            <w:tcW w:w="3080" w:type="dxa"/>
            <w:tcBorders/>
            <w:vAlign w:val="center"/>
          </w:tcPr>
          <w:p>
            <w:pPr>
              <w:pStyle w:val="TableContents"/>
              <w:bidi w:val="0"/>
              <w:spacing w:before="0" w:after="283"/>
              <w:jc w:val="left"/>
              <w:rPr/>
            </w:pPr>
            <w:r>
              <w:rPr/>
              <w:t>Events after the reporting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89"/>
        <w:gridCol w:w="9426"/>
      </w:tblGrid>
      <w:tr>
        <w:trPr/>
        <w:tc>
          <w:tcPr>
            <w:tcW w:w="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b/>
                <w:i/>
              </w:rPr>
            </w:pPr>
            <w:r>
              <w:rPr>
                <w:b/>
                <w:i/>
              </w:rPr>
              <w:t>(a)</w:t>
            </w:r>
          </w:p>
        </w:tc>
        <w:tc>
          <w:tcPr>
            <w:tcW w:w="9426" w:type="dxa"/>
            <w:tcBorders/>
            <w:vAlign w:val="center"/>
          </w:tcPr>
          <w:p>
            <w:pPr>
              <w:pStyle w:val="TableContents"/>
              <w:bidi w:val="0"/>
              <w:spacing w:before="0" w:after="283"/>
              <w:jc w:val="left"/>
              <w:rPr>
                <w:b/>
                <w:i/>
              </w:rPr>
            </w:pPr>
            <w:r>
              <w:rPr>
                <w:b/>
                <w:i/>
              </w:rPr>
              <w:t>Consideration payable from acquisitions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July 1, 2026, the Company paid US$5.5 million in cash settling the current portion of Vectis Gestão in Brazil’s consideration payable - refer to note 21.b(a)(ii).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July 29, 2026, the Company paid US$1.6 million in cash settling the current portion of Solis Investimentos’ consideration payable – refer to note 21.b(a)(viii).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August 3, 2026, the Company paid US$23.6 million to the previous owners of VBI settling the cash consideration payable - refer to note 21.b(a)(i).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August 3, 2026, the Company paid US$16.7 million for RBR, settling a portion of the current cash consideration payable - refer to note 21.b(a)(ix).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August 14, 2026, the Company paid US$0.5 million in cash settling the consideration payable for the fund management right acquisition in Genial - refer to note 21.b(a)(vi).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1305"/>
        <w:gridCol w:w="8730"/>
      </w:tblGrid>
      <w:tr>
        <w:trPr/>
        <w:tc>
          <w:tcPr>
            <w:tcW w:w="17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b/>
                <w:i/>
              </w:rPr>
            </w:pPr>
            <w:r>
              <w:rPr>
                <w:b/>
                <w:i/>
              </w:rPr>
              <w:t>(b)</w:t>
            </w:r>
          </w:p>
        </w:tc>
        <w:tc>
          <w:tcPr>
            <w:tcW w:w="8730" w:type="dxa"/>
            <w:tcBorders/>
            <w:vAlign w:val="center"/>
          </w:tcPr>
          <w:p>
            <w:pPr>
              <w:pStyle w:val="TableContents"/>
              <w:bidi w:val="0"/>
              <w:spacing w:before="0" w:after="283"/>
              <w:jc w:val="left"/>
              <w:rPr>
                <w:b/>
                <w:i/>
              </w:rPr>
            </w:pPr>
            <w:r>
              <w:rPr>
                <w:b/>
                <w:i/>
              </w:rPr>
              <w:t>Share Repurchases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Reporting Date, the Company continued the execution of its existing share repurchase program with respect to its Class A common shares, through one complementary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Return Swap arrangement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Company entered into a Master Confirmation with Citibank ("Dealer") to implement a new Total Return Swap ("TRS") program, authorizing the purchase of up to 2.8 million Class A common shares by the Dealer. The transaction is structured as a total-return equity swap, whereby the Company, as Floating Amount Payer, pays an interest amount on the Equity Notional Amount, and the Dealer, as Equity Amount Payer, passes through to the Company, the total economic return on the underlying Class A common shares, including share price appreciation or depreciation and dividends. The transaction is settled in cash at maturity, with either party having the option to elect a full or partial early unwind (an "Elective Termination") from the effective date until 30 days prior to the first Average Date, subject to the terms of the agreement. During the third quarter of 2026, the Dealer completed the purchase of the full 2.8 million shares authorized under the program.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49 </w:t>
      </w:r>
    </w:p>
    <w:p>
      <w:pPr>
        <w:pStyle w:val="TextBody"/>
        <w:bidi w:val="0"/>
        <w:spacing w:before="0" w:after="0"/>
        <w:ind w:left="0" w:right="0" w:hanging="0"/>
        <w:jc w:val="both"/>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Patria Investments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and for the six-month periods ended June 30, 2026, and 2025</w:t>
      </w:r>
    </w:p>
    <w:p>
      <w:pPr>
        <w:pStyle w:val="TextBody"/>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725"/>
        <w:gridCol w:w="9381"/>
      </w:tblGrid>
      <w:tr>
        <w:trPr/>
        <w:tc>
          <w:tcPr>
            <w:tcW w:w="9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i/>
              </w:rPr>
            </w:pPr>
            <w:r>
              <w:rPr>
                <w:b/>
                <w:i/>
              </w:rPr>
              <w:t>(c)</w:t>
            </w:r>
          </w:p>
        </w:tc>
        <w:tc>
          <w:tcPr>
            <w:tcW w:w="9381" w:type="dxa"/>
            <w:tcBorders/>
            <w:vAlign w:val="center"/>
          </w:tcPr>
          <w:p>
            <w:pPr>
              <w:pStyle w:val="TableContents"/>
              <w:bidi w:val="0"/>
              <w:spacing w:before="0" w:after="283"/>
              <w:jc w:val="left"/>
              <w:rPr>
                <w:b/>
                <w:i/>
              </w:rPr>
            </w:pPr>
            <w:r>
              <w:rPr>
                <w:b/>
                <w:i/>
              </w:rPr>
              <w:t>Issuance of Class A common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and September 29, 2026, the Company issued 337,005 and 116,236 Class A common shares, respectively, in the ordinary course of business to settle a portion of the carried interest payable.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July 1 to August 31, 2026, the Company issued a total of 189,649 Class A common shares in the ordinary course of business under the Company’s Long-Term Incentive Plan (“LTIP”) for management and employees of the Company. These issuance under the LTIP are consistent with the Company’s Registration Statement on Form S-8 filed with the U.S. Securities and Exchange Commission on February 27, 2026.</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2212"/>
        <w:gridCol w:w="7704"/>
      </w:tblGrid>
      <w:tr>
        <w:trPr/>
        <w:tc>
          <w:tcPr>
            <w:tcW w:w="289"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b/>
                <w:i/>
              </w:rPr>
            </w:pPr>
            <w:r>
              <w:rPr>
                <w:b/>
                <w:i/>
              </w:rPr>
              <w:t>(d)</w:t>
            </w:r>
          </w:p>
        </w:tc>
        <w:tc>
          <w:tcPr>
            <w:tcW w:w="7704" w:type="dxa"/>
            <w:tcBorders/>
            <w:vAlign w:val="center"/>
          </w:tcPr>
          <w:p>
            <w:pPr>
              <w:pStyle w:val="TableContents"/>
              <w:bidi w:val="0"/>
              <w:spacing w:before="0" w:after="283"/>
              <w:jc w:val="left"/>
              <w:rPr>
                <w:b/>
                <w:i/>
              </w:rPr>
            </w:pPr>
            <w:r>
              <w:rPr>
                <w:b/>
                <w:i/>
              </w:rPr>
              <w:t>Dividends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Patria declared a quarterly dividend of $0.1625 per share to record holders of common stock at the close of business on August 10, 2026. The dividend was paid on September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Stela de Aguiar Cerqueira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Chief Accounting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Raphael Denadai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Chief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Alexandre T. A. Saigh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24103</Words>
  <Characters>131248</Characters>
  <CharactersWithSpaces>152618</CharactersWithSpaces>
  <Paragraphs>7248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